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2BA08" w14:textId="5D6C5EF0" w:rsidR="00181BC2" w:rsidRPr="00375F29" w:rsidRDefault="00360DAD" w:rsidP="00181B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21830D6F" wp14:editId="7625137D">
            <wp:extent cx="5134708" cy="36370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8" b="-118"/>
                    <a:stretch/>
                  </pic:blipFill>
                  <pic:spPr>
                    <a:xfrm>
                      <a:off x="0" y="0"/>
                      <a:ext cx="5598771" cy="39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79AD9" w14:textId="77777777" w:rsidR="00181BC2" w:rsidRPr="00375F29" w:rsidRDefault="00181BC2" w:rsidP="00181BC2">
      <w:pPr>
        <w:jc w:val="center"/>
        <w:rPr>
          <w:rFonts w:ascii="Arial" w:hAnsi="Arial" w:cs="Arial"/>
          <w:b/>
          <w:sz w:val="18"/>
          <w:szCs w:val="18"/>
        </w:rPr>
      </w:pPr>
    </w:p>
    <w:p w14:paraId="290C74CA" w14:textId="50EFB634" w:rsidR="00181BC2" w:rsidRDefault="00181BC2" w:rsidP="00181BC2">
      <w:pPr>
        <w:jc w:val="center"/>
        <w:rPr>
          <w:b/>
          <w:u w:val="single"/>
        </w:rPr>
      </w:pPr>
      <w:r w:rsidRPr="00375F29">
        <w:rPr>
          <w:b/>
          <w:u w:val="single"/>
        </w:rPr>
        <w:t xml:space="preserve">Content Review and Requisite Validation </w:t>
      </w:r>
    </w:p>
    <w:p w14:paraId="172DD371" w14:textId="77777777" w:rsidR="00225979" w:rsidRPr="00375F29" w:rsidRDefault="00225979" w:rsidP="00181BC2">
      <w:pPr>
        <w:jc w:val="center"/>
        <w:rPr>
          <w:b/>
          <w:u w:val="single"/>
        </w:rPr>
      </w:pPr>
    </w:p>
    <w:tbl>
      <w:tblPr>
        <w:tblW w:w="110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7"/>
      </w:tblGrid>
      <w:tr w:rsidR="00181BC2" w:rsidRPr="00375F29" w14:paraId="76E16A57" w14:textId="77777777" w:rsidTr="00D23014">
        <w:tc>
          <w:tcPr>
            <w:tcW w:w="11047" w:type="dxa"/>
            <w:shd w:val="clear" w:color="auto" w:fill="FFFF00"/>
          </w:tcPr>
          <w:p w14:paraId="54F91F17" w14:textId="79032F45" w:rsidR="00181BC2" w:rsidRPr="00375F29" w:rsidRDefault="00181BC2" w:rsidP="00181BC2">
            <w:pPr>
              <w:numPr>
                <w:ilvl w:val="0"/>
                <w:numId w:val="1"/>
              </w:numPr>
              <w:ind w:left="270" w:hanging="270"/>
              <w:rPr>
                <w:b/>
              </w:rPr>
            </w:pPr>
            <w:r w:rsidRPr="00375F29">
              <w:rPr>
                <w:b/>
              </w:rPr>
              <w:t>Include this page whether or not the course has pre/co-requisites.</w:t>
            </w:r>
          </w:p>
          <w:p w14:paraId="742A9A95" w14:textId="77777777" w:rsidR="00181BC2" w:rsidRPr="00375F29" w:rsidRDefault="00181BC2" w:rsidP="00181BC2">
            <w:pPr>
              <w:numPr>
                <w:ilvl w:val="0"/>
                <w:numId w:val="1"/>
              </w:numPr>
              <w:ind w:left="270" w:hanging="270"/>
              <w:rPr>
                <w:b/>
              </w:rPr>
            </w:pPr>
            <w:r w:rsidRPr="00375F29">
              <w:rPr>
                <w:b/>
              </w:rPr>
              <w:t xml:space="preserve">Once completed, this form should be uploaded as an attachment to the </w:t>
            </w:r>
            <w:proofErr w:type="spellStart"/>
            <w:r w:rsidRPr="00375F29">
              <w:rPr>
                <w:b/>
              </w:rPr>
              <w:t>eLumen</w:t>
            </w:r>
            <w:proofErr w:type="spellEnd"/>
            <w:r w:rsidRPr="00375F29">
              <w:rPr>
                <w:b/>
              </w:rPr>
              <w:t xml:space="preserve"> course record.</w:t>
            </w:r>
          </w:p>
          <w:p w14:paraId="21792F2E" w14:textId="257278EA" w:rsidR="00181BC2" w:rsidRPr="00375F29" w:rsidRDefault="00181BC2" w:rsidP="00181BC2">
            <w:pPr>
              <w:numPr>
                <w:ilvl w:val="0"/>
                <w:numId w:val="1"/>
              </w:numPr>
              <w:ind w:left="270" w:hanging="270"/>
              <w:rPr>
                <w:b/>
              </w:rPr>
            </w:pPr>
            <w:r w:rsidRPr="00375F29">
              <w:rPr>
                <w:b/>
              </w:rPr>
              <w:t>Use one validation form per requisite.</w:t>
            </w:r>
          </w:p>
          <w:p w14:paraId="4113C4AA" w14:textId="694618B5" w:rsidR="00181BC2" w:rsidRPr="00375F29" w:rsidRDefault="00181BC2" w:rsidP="00181BC2">
            <w:pPr>
              <w:numPr>
                <w:ilvl w:val="0"/>
                <w:numId w:val="1"/>
              </w:numPr>
              <w:ind w:left="270" w:hanging="270"/>
              <w:rPr>
                <w:b/>
              </w:rPr>
            </w:pPr>
            <w:r w:rsidRPr="00375F29">
              <w:rPr>
                <w:b/>
              </w:rPr>
              <w:t>Completion of the review</w:t>
            </w:r>
            <w:r w:rsidR="00D23014">
              <w:rPr>
                <w:b/>
              </w:rPr>
              <w:t>/approval</w:t>
            </w:r>
            <w:r w:rsidRPr="00375F29">
              <w:rPr>
                <w:b/>
              </w:rPr>
              <w:t xml:space="preserve"> process verifies that: </w:t>
            </w:r>
          </w:p>
          <w:p w14:paraId="2E6C7624" w14:textId="4097A7D9" w:rsidR="00181BC2" w:rsidRPr="00375F29" w:rsidRDefault="00181BC2" w:rsidP="00181BC2">
            <w:pPr>
              <w:numPr>
                <w:ilvl w:val="1"/>
                <w:numId w:val="1"/>
              </w:numPr>
              <w:rPr>
                <w:b/>
              </w:rPr>
            </w:pPr>
            <w:r w:rsidRPr="00375F29">
              <w:rPr>
                <w:b/>
              </w:rPr>
              <w:t xml:space="preserve">the department has reviewed the requisites to establish that each is still supported by its faculty </w:t>
            </w:r>
            <w:r w:rsidR="00D23014">
              <w:rPr>
                <w:b/>
              </w:rPr>
              <w:t>and is in compliance</w:t>
            </w:r>
          </w:p>
          <w:p w14:paraId="11FD0864" w14:textId="77777777" w:rsidR="00181BC2" w:rsidRPr="00375F29" w:rsidRDefault="00181BC2" w:rsidP="00181BC2">
            <w:pPr>
              <w:numPr>
                <w:ilvl w:val="1"/>
                <w:numId w:val="1"/>
              </w:numPr>
              <w:rPr>
                <w:b/>
              </w:rPr>
            </w:pPr>
            <w:r w:rsidRPr="00375F29">
              <w:rPr>
                <w:b/>
              </w:rPr>
              <w:t>the student would not benefit from additional requisites to this course</w:t>
            </w:r>
          </w:p>
          <w:p w14:paraId="3337987B" w14:textId="77777777" w:rsidR="00181BC2" w:rsidRPr="00375F29" w:rsidRDefault="00181BC2" w:rsidP="00181BC2">
            <w:pPr>
              <w:numPr>
                <w:ilvl w:val="1"/>
                <w:numId w:val="1"/>
              </w:numPr>
              <w:rPr>
                <w:b/>
              </w:rPr>
            </w:pPr>
            <w:r w:rsidRPr="00375F29">
              <w:rPr>
                <w:b/>
              </w:rPr>
              <w:t>the department has reviewed the current course outline and finds it satisfactory</w:t>
            </w:r>
          </w:p>
        </w:tc>
      </w:tr>
    </w:tbl>
    <w:p w14:paraId="7C2CA559" w14:textId="4B26F65A" w:rsidR="0054064B" w:rsidRPr="00375F29" w:rsidRDefault="006A4E62">
      <w:pPr>
        <w:rPr>
          <w:sz w:val="18"/>
          <w:szCs w:val="18"/>
        </w:rPr>
      </w:pPr>
    </w:p>
    <w:p w14:paraId="30C5A6F9" w14:textId="0E394F9E" w:rsidR="00181BC2" w:rsidRPr="00375F29" w:rsidRDefault="00181BC2">
      <w:r w:rsidRPr="00375F29">
        <w:rPr>
          <w:b/>
          <w:bCs/>
        </w:rPr>
        <w:t>Course Under Content Review:</w:t>
      </w:r>
      <w:r w:rsidRPr="00375F29">
        <w:t xml:space="preserve">  </w:t>
      </w:r>
      <w:r w:rsidRPr="00375F29">
        <w:tab/>
      </w:r>
      <w:r w:rsidR="00A069E6" w:rsidRPr="00375F29">
        <w:tab/>
      </w:r>
      <w:sdt>
        <w:sdtPr>
          <w:id w:val="1600531344"/>
          <w:placeholder>
            <w:docPart w:val="DefaultPlaceholder_-1854013440"/>
          </w:placeholder>
          <w:showingPlcHdr/>
          <w:text/>
        </w:sdtPr>
        <w:sdtEndPr/>
        <w:sdtContent>
          <w:r w:rsidRPr="00375F2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9345B99" w14:textId="48B73BE2" w:rsidR="00181BC2" w:rsidRPr="00375F29" w:rsidRDefault="00181BC2">
      <w:pPr>
        <w:rPr>
          <w:b/>
          <w:bCs/>
        </w:rPr>
      </w:pPr>
      <w:r w:rsidRPr="00375F29">
        <w:rPr>
          <w:b/>
          <w:bCs/>
        </w:rPr>
        <w:t xml:space="preserve">Requisite to be Validated (or None):  </w:t>
      </w:r>
      <w:r w:rsidRPr="00375F29">
        <w:rPr>
          <w:b/>
          <w:bCs/>
        </w:rPr>
        <w:tab/>
      </w:r>
      <w:sdt>
        <w:sdtPr>
          <w:rPr>
            <w:b/>
            <w:bCs/>
          </w:rPr>
          <w:id w:val="169326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5F2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375F29">
        <w:rPr>
          <w:b/>
          <w:bCs/>
        </w:rPr>
        <w:t>Pre-</w:t>
      </w:r>
      <w:r w:rsidRPr="00375F29">
        <w:rPr>
          <w:b/>
          <w:bCs/>
        </w:rPr>
        <w:tab/>
      </w:r>
      <w:sdt>
        <w:sdtPr>
          <w:rPr>
            <w:b/>
            <w:bCs/>
          </w:rPr>
          <w:id w:val="2136127512"/>
          <w:placeholder>
            <w:docPart w:val="DefaultPlaceholder_-1854013440"/>
          </w:placeholder>
          <w:showingPlcHdr/>
          <w:text/>
        </w:sdtPr>
        <w:sdtEndPr/>
        <w:sdtContent>
          <w:r w:rsidRPr="00375F2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75F29">
        <w:rPr>
          <w:b/>
          <w:bCs/>
        </w:rPr>
        <w:tab/>
      </w:r>
    </w:p>
    <w:p w14:paraId="258D1086" w14:textId="654E1BEA" w:rsidR="00181BC2" w:rsidRPr="00375F29" w:rsidRDefault="006A4E62" w:rsidP="006F2DD0">
      <w:pPr>
        <w:ind w:left="3024" w:firstLine="432"/>
        <w:rPr>
          <w:b/>
          <w:bCs/>
        </w:rPr>
      </w:pPr>
      <w:sdt>
        <w:sdtPr>
          <w:rPr>
            <w:b/>
            <w:bCs/>
          </w:rPr>
          <w:id w:val="-132404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BC2" w:rsidRPr="00375F2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81BC2" w:rsidRPr="00375F29">
        <w:rPr>
          <w:b/>
          <w:bCs/>
        </w:rPr>
        <w:t>Co-</w:t>
      </w:r>
      <w:r w:rsidR="00181BC2" w:rsidRPr="00375F29">
        <w:rPr>
          <w:b/>
          <w:bCs/>
        </w:rPr>
        <w:tab/>
      </w:r>
      <w:sdt>
        <w:sdtPr>
          <w:rPr>
            <w:b/>
            <w:bCs/>
          </w:rPr>
          <w:id w:val="841897338"/>
          <w:placeholder>
            <w:docPart w:val="DefaultPlaceholder_-1854013440"/>
          </w:placeholder>
          <w:showingPlcHdr/>
          <w:text/>
        </w:sdtPr>
        <w:sdtEndPr/>
        <w:sdtContent>
          <w:r w:rsidR="00181BC2" w:rsidRPr="00375F2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181BC2" w:rsidRPr="00375F29">
        <w:rPr>
          <w:b/>
          <w:bCs/>
        </w:rPr>
        <w:tab/>
      </w:r>
      <w:r w:rsidR="00181BC2" w:rsidRPr="00375F29">
        <w:rPr>
          <w:b/>
          <w:bCs/>
        </w:rPr>
        <w:tab/>
      </w:r>
    </w:p>
    <w:p w14:paraId="50DB07DE" w14:textId="2894A915" w:rsidR="00181BC2" w:rsidRPr="00375F29" w:rsidRDefault="006A4E62" w:rsidP="006F2DD0">
      <w:pPr>
        <w:ind w:left="3024" w:firstLine="432"/>
        <w:rPr>
          <w:b/>
          <w:bCs/>
        </w:rPr>
      </w:pPr>
      <w:sdt>
        <w:sdtPr>
          <w:rPr>
            <w:b/>
            <w:bCs/>
          </w:rPr>
          <w:id w:val="212356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9E6" w:rsidRPr="00375F2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81BC2" w:rsidRPr="00375F29">
        <w:rPr>
          <w:b/>
          <w:bCs/>
        </w:rPr>
        <w:t>None/</w:t>
      </w:r>
      <w:proofErr w:type="gramStart"/>
      <w:r w:rsidR="00181BC2" w:rsidRPr="00375F29">
        <w:rPr>
          <w:b/>
          <w:bCs/>
        </w:rPr>
        <w:t>Advisory</w:t>
      </w:r>
      <w:r w:rsidR="00A069E6" w:rsidRPr="00375F29">
        <w:rPr>
          <w:b/>
          <w:bCs/>
        </w:rPr>
        <w:t xml:space="preserve">  (</w:t>
      </w:r>
      <w:proofErr w:type="gramEnd"/>
      <w:r w:rsidR="00A069E6" w:rsidRPr="00375F29">
        <w:rPr>
          <w:b/>
          <w:bCs/>
        </w:rPr>
        <w:t>Only complete th</w:t>
      </w:r>
      <w:r w:rsidR="00D23014">
        <w:rPr>
          <w:b/>
          <w:bCs/>
        </w:rPr>
        <w:t>is section</w:t>
      </w:r>
      <w:r w:rsidR="00A069E6" w:rsidRPr="00375F29">
        <w:rPr>
          <w:b/>
          <w:bCs/>
        </w:rPr>
        <w:t>)</w:t>
      </w:r>
    </w:p>
    <w:p w14:paraId="00A78B6A" w14:textId="518EB17C" w:rsidR="00181BC2" w:rsidRPr="00375F29" w:rsidRDefault="00181BC2" w:rsidP="00181BC2">
      <w:pPr>
        <w:rPr>
          <w:b/>
        </w:rPr>
      </w:pPr>
      <w:r w:rsidRPr="00375F29">
        <w:rPr>
          <w:b/>
        </w:rPr>
        <w:t>Requisite Challenge Policy:</w:t>
      </w:r>
      <w:r w:rsidRPr="00375F29">
        <w:rPr>
          <w:b/>
        </w:rPr>
        <w:tab/>
      </w:r>
      <w:r w:rsidR="00A069E6" w:rsidRPr="00375F29">
        <w:rPr>
          <w:b/>
        </w:rPr>
        <w:tab/>
      </w:r>
      <w:r w:rsidR="006F2DD0">
        <w:rPr>
          <w:b/>
        </w:rPr>
        <w:tab/>
      </w:r>
      <w:sdt>
        <w:sdtPr>
          <w:rPr>
            <w:b/>
          </w:rPr>
          <w:id w:val="-1355649209"/>
          <w:placeholder>
            <w:docPart w:val="DefaultPlaceholder_-1854013440"/>
          </w:placeholder>
          <w:showingPlcHdr/>
          <w:text/>
        </w:sdtPr>
        <w:sdtEndPr/>
        <w:sdtContent>
          <w:r w:rsidRPr="00375F2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6E524FE" w14:textId="7F0A849F" w:rsidR="00181BC2" w:rsidRPr="00375F29" w:rsidRDefault="00A069E6" w:rsidP="00181BC2">
      <w:pPr>
        <w:rPr>
          <w:b/>
        </w:rPr>
      </w:pPr>
      <w:r w:rsidRPr="00375F29">
        <w:rPr>
          <w:b/>
        </w:rPr>
        <w:t>Semester/Year of Content Review:</w:t>
      </w:r>
      <w:r w:rsidRPr="00375F29">
        <w:rPr>
          <w:b/>
        </w:rPr>
        <w:tab/>
      </w:r>
      <w:r w:rsidR="006F2DD0">
        <w:rPr>
          <w:b/>
        </w:rPr>
        <w:tab/>
      </w:r>
      <w:sdt>
        <w:sdtPr>
          <w:rPr>
            <w:b/>
          </w:rPr>
          <w:id w:val="1041711478"/>
          <w:placeholder>
            <w:docPart w:val="DefaultPlaceholder_-1854013440"/>
          </w:placeholder>
          <w:showingPlcHdr/>
          <w:text/>
        </w:sdtPr>
        <w:sdtEndPr/>
        <w:sdtContent>
          <w:r w:rsidRPr="00375F2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7E19F00" w14:textId="1AF72245" w:rsidR="00A069E6" w:rsidRPr="00375F29" w:rsidRDefault="00A069E6" w:rsidP="00181BC2">
      <w:pPr>
        <w:rPr>
          <w:b/>
        </w:rPr>
      </w:pPr>
      <w:r w:rsidRPr="00375F2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A75B7" wp14:editId="15EA7853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68389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556E3" w14:textId="251FFE04" w:rsidR="00A069E6" w:rsidRPr="00375F29" w:rsidRDefault="00A069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75F29">
                              <w:rPr>
                                <w:sz w:val="18"/>
                                <w:szCs w:val="18"/>
                              </w:rPr>
                              <w:t xml:space="preserve">Title 5, Section 55003 (a) – (q) requires all courses to go through content review every six years at a minimum (or two years for CTE courses). The main purpose of content review is to evaluate whether any existing prerequisites and co-requisites are appropriate or they constitute an unnecessary restriction on enrollment, or whether other requisites or advisories are needed.  A pre/co-requisite is justified when students who do not possess the knowledge covered in the required course would be </w:t>
                            </w:r>
                            <w:r w:rsidRPr="00375F2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highly unlikely to receive a satisfactory</w:t>
                            </w:r>
                            <w:r w:rsidRPr="00375F29">
                              <w:rPr>
                                <w:sz w:val="18"/>
                                <w:szCs w:val="18"/>
                              </w:rPr>
                              <w:t xml:space="preserve"> grade in the course being reviewed. Content review is also an opportunity to update the content, objectives, and materials of the course.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4BA75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22.25pt;width:53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+MJQIAAEc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">
                <v:textbox style="mso-fit-shape-to-text:t">
                  <w:txbxContent>
                    <w:p w14:paraId="60B556E3" w14:textId="251FFE04" w:rsidR="00A069E6" w:rsidRPr="00375F29" w:rsidRDefault="00A069E6">
                      <w:pPr>
                        <w:rPr>
                          <w:sz w:val="18"/>
                          <w:szCs w:val="18"/>
                        </w:rPr>
                      </w:pPr>
                      <w:r w:rsidRPr="00375F29">
                        <w:rPr>
                          <w:sz w:val="18"/>
                          <w:szCs w:val="18"/>
                        </w:rPr>
                        <w:t xml:space="preserve">Title 5, Section 55003 (a) – (q) requires all courses to go through content review every six years at a minimum (or two years for CTE courses). The main purpose of content review is to evaluate whether any existing prerequisites and co-requisites are </w:t>
                      </w:r>
                      <w:proofErr w:type="gramStart"/>
                      <w:r w:rsidRPr="00375F29">
                        <w:rPr>
                          <w:sz w:val="18"/>
                          <w:szCs w:val="18"/>
                        </w:rPr>
                        <w:t>appropriate</w:t>
                      </w:r>
                      <w:proofErr w:type="gramEnd"/>
                      <w:r w:rsidRPr="00375F29">
                        <w:rPr>
                          <w:sz w:val="18"/>
                          <w:szCs w:val="18"/>
                        </w:rPr>
                        <w:t xml:space="preserve"> or they constitute an unnecessary restriction on enrollment, or whether other requisites or advisories are needed.  A pre/co-requisite is justified when students who do not possess the knowledge covered in the required course would be </w:t>
                      </w:r>
                      <w:r w:rsidRPr="00375F29">
                        <w:rPr>
                          <w:i/>
                          <w:iCs/>
                          <w:sz w:val="18"/>
                          <w:szCs w:val="18"/>
                        </w:rPr>
                        <w:t>highly unlikely to receive a satisfactory</w:t>
                      </w:r>
                      <w:r w:rsidRPr="00375F29">
                        <w:rPr>
                          <w:sz w:val="18"/>
                          <w:szCs w:val="18"/>
                        </w:rPr>
                        <w:t xml:space="preserve"> grade in the course being reviewed. Content review is also an opportunity to update the content, objectives, and materials of the course.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5F29">
        <w:rPr>
          <w:b/>
        </w:rPr>
        <w:t>Faculty Involved in Content Review:</w:t>
      </w:r>
      <w:r w:rsidRPr="00375F29">
        <w:rPr>
          <w:b/>
        </w:rPr>
        <w:tab/>
      </w:r>
      <w:sdt>
        <w:sdtPr>
          <w:rPr>
            <w:b/>
          </w:rPr>
          <w:id w:val="719176073"/>
          <w:placeholder>
            <w:docPart w:val="DefaultPlaceholder_-1854013440"/>
          </w:placeholder>
          <w:showingPlcHdr/>
          <w:text/>
        </w:sdtPr>
        <w:sdtEndPr/>
        <w:sdtContent>
          <w:r w:rsidRPr="00375F2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F5E9574" w14:textId="66A67583" w:rsidR="00A069E6" w:rsidRPr="00375F29" w:rsidRDefault="00A069E6" w:rsidP="00181BC2">
      <w:pPr>
        <w:rPr>
          <w:b/>
          <w:bCs/>
          <w:sz w:val="18"/>
          <w:szCs w:val="18"/>
        </w:rPr>
      </w:pPr>
    </w:p>
    <w:p w14:paraId="2B917FD9" w14:textId="77777777" w:rsidR="00A069E6" w:rsidRPr="006F2DD0" w:rsidRDefault="00A069E6" w:rsidP="00A069E6">
      <w:pPr>
        <w:ind w:left="1440" w:hanging="1440"/>
        <w:rPr>
          <w:b/>
        </w:rPr>
      </w:pPr>
      <w:r w:rsidRPr="006F2DD0">
        <w:rPr>
          <w:b/>
        </w:rPr>
        <w:t>Choose justification(s) for requisite below, complete matrix, and attach required documentation (if applicable).</w:t>
      </w:r>
    </w:p>
    <w:p w14:paraId="0E3BBA27" w14:textId="1D3B4812" w:rsidR="00A069E6" w:rsidRPr="006F2DD0" w:rsidRDefault="006A4E62" w:rsidP="006F2DD0">
      <w:sdt>
        <w:sdtPr>
          <w:rPr>
            <w:b/>
            <w:bCs/>
          </w:rPr>
          <w:id w:val="-67588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9E6" w:rsidRPr="006F2DD0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069E6" w:rsidRPr="006F2DD0">
        <w:rPr>
          <w:b/>
          <w:bCs/>
        </w:rPr>
        <w:tab/>
      </w:r>
      <w:r w:rsidR="00A069E6" w:rsidRPr="006F2DD0">
        <w:t>This requisite is a closely related lecture/lab course.</w:t>
      </w:r>
    </w:p>
    <w:p w14:paraId="06489A9B" w14:textId="2C49B1A0" w:rsidR="00A069E6" w:rsidRPr="006F2DD0" w:rsidRDefault="006A4E62" w:rsidP="00181BC2">
      <w:sdt>
        <w:sdtPr>
          <w:rPr>
            <w:b/>
            <w:bCs/>
          </w:rPr>
          <w:id w:val="15603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9E6" w:rsidRPr="006F2DD0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069E6" w:rsidRPr="006F2DD0">
        <w:rPr>
          <w:b/>
          <w:bCs/>
        </w:rPr>
        <w:tab/>
      </w:r>
      <w:r w:rsidR="00A069E6" w:rsidRPr="006F2DD0">
        <w:t>This requisite is required for course to transfer to 4-year institutions, including CSU/UC.</w:t>
      </w:r>
    </w:p>
    <w:p w14:paraId="22302097" w14:textId="4620B309" w:rsidR="00A069E6" w:rsidRPr="006F2DD0" w:rsidRDefault="006A4E62" w:rsidP="00181BC2">
      <w:sdt>
        <w:sdtPr>
          <w:rPr>
            <w:b/>
            <w:bCs/>
          </w:rPr>
          <w:id w:val="57109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9E6" w:rsidRPr="006F2DD0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75F29" w:rsidRPr="006F2DD0">
        <w:rPr>
          <w:b/>
          <w:bCs/>
        </w:rPr>
        <w:tab/>
      </w:r>
      <w:r w:rsidR="00375F29" w:rsidRPr="006F2DD0">
        <w:t>This requisite is part of a sequence of courses within and/or across disciplines.</w:t>
      </w:r>
    </w:p>
    <w:p w14:paraId="6F8146FE" w14:textId="59B56099" w:rsidR="00375F29" w:rsidRPr="006F2DD0" w:rsidRDefault="006A4E62" w:rsidP="00181BC2">
      <w:sdt>
        <w:sdtPr>
          <w:id w:val="-197960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F29" w:rsidRPr="006F2DD0">
            <w:rPr>
              <w:rFonts w:ascii="Segoe UI Symbol" w:eastAsia="MS Gothic" w:hAnsi="Segoe UI Symbol" w:cs="Segoe UI Symbol"/>
            </w:rPr>
            <w:t>☐</w:t>
          </w:r>
        </w:sdtContent>
      </w:sdt>
      <w:r w:rsidR="00375F29" w:rsidRPr="006F2DD0">
        <w:tab/>
        <w:t>This requisite is required for enrollment in a program.</w:t>
      </w:r>
      <w:r w:rsidR="00375F29" w:rsidRPr="006F2DD0">
        <w:tab/>
      </w:r>
      <w:r w:rsidR="00375F29" w:rsidRPr="006F2DD0">
        <w:tab/>
        <w:t xml:space="preserve">Program Name: </w:t>
      </w:r>
      <w:sdt>
        <w:sdtPr>
          <w:id w:val="-1735453606"/>
          <w:placeholder>
            <w:docPart w:val="DefaultPlaceholder_-1854013440"/>
          </w:placeholder>
          <w:showingPlcHdr/>
          <w:text/>
        </w:sdtPr>
        <w:sdtEndPr/>
        <w:sdtContent>
          <w:r w:rsidR="00375F29" w:rsidRPr="006F2DD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E47BCB4" w14:textId="49C0C3FC" w:rsidR="00375F29" w:rsidRPr="006F2DD0" w:rsidRDefault="006A4E62" w:rsidP="00181BC2">
      <w:sdt>
        <w:sdtPr>
          <w:id w:val="-90483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F29" w:rsidRPr="006F2DD0">
            <w:rPr>
              <w:rFonts w:ascii="Segoe UI Symbol" w:eastAsia="MS Gothic" w:hAnsi="Segoe UI Symbol" w:cs="Segoe UI Symbol"/>
            </w:rPr>
            <w:t>☐</w:t>
          </w:r>
        </w:sdtContent>
      </w:sdt>
      <w:r w:rsidR="00375F29" w:rsidRPr="006F2DD0">
        <w:tab/>
        <w:t>This requisite is required for the health or safety of the students in the course.</w:t>
      </w:r>
    </w:p>
    <w:p w14:paraId="174E74BC" w14:textId="00FD7E1D" w:rsidR="00375F29" w:rsidRPr="006F2DD0" w:rsidRDefault="006A4E62" w:rsidP="006F2DD0">
      <w:sdt>
        <w:sdtPr>
          <w:id w:val="888915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F29" w:rsidRPr="006F2DD0">
            <w:rPr>
              <w:rFonts w:ascii="Segoe UI Symbol" w:eastAsia="MS Gothic" w:hAnsi="Segoe UI Symbol" w:cs="Segoe UI Symbol"/>
            </w:rPr>
            <w:t>☐</w:t>
          </w:r>
        </w:sdtContent>
      </w:sdt>
      <w:r w:rsidR="00375F29" w:rsidRPr="006F2DD0">
        <w:tab/>
        <w:t>This requisite is required by law or government regulation.  (Attach a copy of pertinent law or regulation.)</w:t>
      </w:r>
    </w:p>
    <w:p w14:paraId="17DBC6D9" w14:textId="09EAA73B" w:rsidR="006F2DD0" w:rsidRDefault="006A4E62" w:rsidP="006F2DD0">
      <w:pPr>
        <w:ind w:left="430" w:hanging="430"/>
      </w:pPr>
      <w:sdt>
        <w:sdtPr>
          <w:id w:val="-205507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DD0" w:rsidRPr="006F2DD0">
            <w:rPr>
              <w:rFonts w:ascii="Segoe UI Symbol" w:eastAsia="MS Gothic" w:hAnsi="Segoe UI Symbol" w:cs="Segoe UI Symbol"/>
            </w:rPr>
            <w:t>☐</w:t>
          </w:r>
        </w:sdtContent>
      </w:sdt>
      <w:r w:rsidR="006F2DD0" w:rsidRPr="006F2DD0">
        <w:tab/>
        <w:t xml:space="preserve">This requisite is another measure of skills necessary to achieve a satisfactory grade </w:t>
      </w:r>
      <w:r w:rsidR="00D23014">
        <w:t>in the course being reviewed</w:t>
      </w:r>
      <w:r w:rsidR="006F2DD0">
        <w:t>.</w:t>
      </w:r>
      <w:r w:rsidR="006F2DD0">
        <w:tab/>
      </w:r>
      <w:r w:rsidR="006F2DD0">
        <w:tab/>
      </w:r>
      <w:r w:rsidR="006F2DD0">
        <w:tab/>
      </w:r>
      <w:r w:rsidR="006F2DD0">
        <w:tab/>
        <w:t>Explain:</w:t>
      </w:r>
      <w:r w:rsidR="006F2DD0">
        <w:tab/>
      </w:r>
      <w:sdt>
        <w:sdtPr>
          <w:id w:val="978032666"/>
          <w:placeholder>
            <w:docPart w:val="DefaultPlaceholder_-1854013440"/>
          </w:placeholder>
          <w:showingPlcHdr/>
          <w:text/>
        </w:sdtPr>
        <w:sdtEndPr/>
        <w:sdtContent>
          <w:r w:rsidR="006F2DD0" w:rsidRPr="006B0B1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A1E3BFB" w14:textId="24F2FB67" w:rsidR="00D23014" w:rsidRDefault="006A4E62" w:rsidP="006F2DD0">
      <w:pPr>
        <w:ind w:left="430" w:hanging="430"/>
      </w:pPr>
      <w:sdt>
        <w:sdtPr>
          <w:id w:val="30443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014">
            <w:rPr>
              <w:rFonts w:ascii="MS Gothic" w:eastAsia="MS Gothic" w:hAnsi="MS Gothic" w:hint="eastAsia"/>
            </w:rPr>
            <w:t>☐</w:t>
          </w:r>
        </w:sdtContent>
      </w:sdt>
      <w:r w:rsidR="00D23014">
        <w:tab/>
        <w:t>This requisite is a limitation on enrollment.  This includes auditions for performance courses, honors courses or sections, and blocks of courses or sections created to set up a cohort of students</w:t>
      </w:r>
    </w:p>
    <w:p w14:paraId="25B4236E" w14:textId="6E5C9615" w:rsidR="006F2DD0" w:rsidRDefault="006F2DD0" w:rsidP="006F2DD0">
      <w:pPr>
        <w:ind w:left="430" w:hanging="430"/>
      </w:pPr>
    </w:p>
    <w:p w14:paraId="6F9D887C" w14:textId="77777777" w:rsidR="006F2DD0" w:rsidRPr="007F54D3" w:rsidRDefault="006F2DD0" w:rsidP="006F2DD0">
      <w:r w:rsidRPr="007F54D3">
        <w:t xml:space="preserve">*For additional explanation of requirements, refer to the </w:t>
      </w:r>
      <w:hyperlink r:id="rId12" w:history="1">
        <w:r w:rsidRPr="00341DB3">
          <w:rPr>
            <w:rStyle w:val="Hyperlink"/>
          </w:rPr>
          <w:t>District Model Policy</w:t>
        </w:r>
      </w:hyperlink>
      <w:r w:rsidRPr="007F54D3">
        <w:t xml:space="preserve">. </w:t>
      </w:r>
      <w:r w:rsidRPr="007F54D3">
        <w:tab/>
      </w:r>
      <w:r w:rsidRPr="007F54D3">
        <w:tab/>
      </w:r>
      <w:r w:rsidRPr="007F54D3">
        <w:tab/>
      </w:r>
    </w:p>
    <w:p w14:paraId="0989DDDC" w14:textId="46B4EC62" w:rsidR="006F2DD0" w:rsidRDefault="006F2DD0" w:rsidP="006F2DD0">
      <w:pPr>
        <w:ind w:left="270" w:hanging="270"/>
      </w:pPr>
      <w:r w:rsidRPr="007F54D3">
        <w:t>**</w:t>
      </w:r>
      <w:r w:rsidRPr="007F54D3">
        <w:rPr>
          <w:i/>
        </w:rPr>
        <w:t xml:space="preserve">In addition to rigorous content review, </w:t>
      </w:r>
      <w:r w:rsidRPr="007F54D3">
        <w:t>an instructor may request a study of the empirical relationship between a prerequisite course (or placement tool) and subsequent student performance in the targeted course. The rigor of content review will be established on a college-wide basis in conjunction with District research requirements.</w:t>
      </w:r>
    </w:p>
    <w:p w14:paraId="25DD51BB" w14:textId="36953C84" w:rsidR="00593CC0" w:rsidRDefault="00593CC0" w:rsidP="006F2DD0">
      <w:pPr>
        <w:ind w:left="270" w:hanging="270"/>
      </w:pPr>
    </w:p>
    <w:p w14:paraId="2F851747" w14:textId="77777777" w:rsidR="00593CC0" w:rsidRPr="00531992" w:rsidRDefault="00593CC0" w:rsidP="00593CC0">
      <w:r w:rsidRPr="00531992">
        <w:rPr>
          <w:b/>
        </w:rPr>
        <w:t>Directions:</w:t>
      </w:r>
      <w:r w:rsidRPr="00531992">
        <w:t xml:space="preserve"> Align the </w:t>
      </w:r>
      <w:r w:rsidRPr="00E072A1">
        <w:rPr>
          <w:u w:val="single"/>
        </w:rPr>
        <w:t>relevant</w:t>
      </w:r>
      <w:r w:rsidRPr="00E072A1">
        <w:t xml:space="preserve"> course </w:t>
      </w:r>
      <w:r w:rsidRPr="00E072A1">
        <w:rPr>
          <w:b/>
          <w:i/>
        </w:rPr>
        <w:t>objectives</w:t>
      </w:r>
      <w:r w:rsidRPr="00E072A1">
        <w:t xml:space="preserve"> o</w:t>
      </w:r>
      <w:r w:rsidRPr="00531992">
        <w:t xml:space="preserve">f the pre/co-requisite to the </w:t>
      </w:r>
      <w:r w:rsidRPr="00E072A1">
        <w:rPr>
          <w:u w:val="single"/>
        </w:rPr>
        <w:t>corresponding</w:t>
      </w:r>
      <w:r w:rsidRPr="00E072A1">
        <w:t xml:space="preserve"> </w:t>
      </w:r>
      <w:r w:rsidRPr="00E072A1">
        <w:rPr>
          <w:b/>
          <w:i/>
        </w:rPr>
        <w:t>content</w:t>
      </w:r>
      <w:r w:rsidRPr="00531992">
        <w:t xml:space="preserve"> of the course being reviewed</w:t>
      </w:r>
      <w:r>
        <w:t>.  More than one objective may align with each content item.</w:t>
      </w:r>
    </w:p>
    <w:p w14:paraId="1FDAB99D" w14:textId="77777777" w:rsidR="00593CC0" w:rsidRPr="00531992" w:rsidRDefault="00593CC0" w:rsidP="00593CC0">
      <w:pPr>
        <w:rPr>
          <w:sz w:val="6"/>
          <w:szCs w:val="6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8"/>
        <w:gridCol w:w="630"/>
        <w:gridCol w:w="5490"/>
        <w:gridCol w:w="18"/>
      </w:tblGrid>
      <w:tr w:rsidR="00593CC0" w14:paraId="743F79BB" w14:textId="77777777" w:rsidTr="00225979">
        <w:tc>
          <w:tcPr>
            <w:tcW w:w="4878" w:type="dxa"/>
            <w:tcBorders>
              <w:bottom w:val="single" w:sz="4" w:space="0" w:color="auto"/>
              <w:right w:val="nil"/>
            </w:tcBorders>
            <w:shd w:val="clear" w:color="auto" w:fill="1F497D"/>
          </w:tcPr>
          <w:p w14:paraId="72E5AD19" w14:textId="77777777" w:rsidR="00593CC0" w:rsidRPr="00B73D75" w:rsidRDefault="00593CC0" w:rsidP="00B97530">
            <w:pPr>
              <w:jc w:val="center"/>
              <w:rPr>
                <w:b/>
                <w:color w:val="FFFFFF"/>
              </w:rPr>
            </w:pPr>
            <w:r w:rsidRPr="00B73D75">
              <w:rPr>
                <w:b/>
                <w:color w:val="FFFFFF"/>
              </w:rPr>
              <w:t xml:space="preserve">Relevant </w:t>
            </w:r>
            <w:r w:rsidRPr="00E072A1">
              <w:rPr>
                <w:b/>
                <w:color w:val="FFFF00"/>
              </w:rPr>
              <w:t>Objectives</w:t>
            </w:r>
            <w:r w:rsidRPr="00B73D75">
              <w:rPr>
                <w:b/>
                <w:color w:val="FFFFFF"/>
              </w:rPr>
              <w:t xml:space="preserve"> of Requisite Course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F497D"/>
          </w:tcPr>
          <w:p w14:paraId="702E8CD1" w14:textId="77777777" w:rsidR="00593CC0" w:rsidRPr="00B73D75" w:rsidRDefault="00593CC0" w:rsidP="00B97530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5508" w:type="dxa"/>
            <w:gridSpan w:val="2"/>
            <w:tcBorders>
              <w:left w:val="nil"/>
              <w:bottom w:val="single" w:sz="4" w:space="0" w:color="auto"/>
            </w:tcBorders>
            <w:shd w:val="clear" w:color="auto" w:fill="1F497D"/>
          </w:tcPr>
          <w:p w14:paraId="44DD2E21" w14:textId="13D627AA" w:rsidR="00593CC0" w:rsidRPr="00B73D75" w:rsidRDefault="00593CC0" w:rsidP="00B97530">
            <w:pPr>
              <w:jc w:val="center"/>
              <w:rPr>
                <w:b/>
                <w:color w:val="FFFFFF"/>
              </w:rPr>
            </w:pPr>
            <w:r w:rsidRPr="00B73D75">
              <w:rPr>
                <w:b/>
                <w:color w:val="FFFFFF"/>
              </w:rPr>
              <w:t>Corresponding</w:t>
            </w:r>
            <w:r w:rsidRPr="00B73D75">
              <w:rPr>
                <w:color w:val="FFFFFF"/>
              </w:rPr>
              <w:t xml:space="preserve"> </w:t>
            </w:r>
            <w:r w:rsidRPr="00E072A1">
              <w:rPr>
                <w:b/>
                <w:color w:val="FFFF00"/>
              </w:rPr>
              <w:t>Content</w:t>
            </w:r>
            <w:r w:rsidRPr="00B73D75">
              <w:rPr>
                <w:b/>
                <w:color w:val="FFFFFF"/>
              </w:rPr>
              <w:t xml:space="preserve"> of Course under Review</w:t>
            </w:r>
          </w:p>
        </w:tc>
      </w:tr>
      <w:tr w:rsidR="00593CC0" w14:paraId="2A9B90DB" w14:textId="77777777" w:rsidTr="00225979">
        <w:tc>
          <w:tcPr>
            <w:tcW w:w="4878" w:type="dxa"/>
          </w:tcPr>
          <w:p w14:paraId="422E01A8" w14:textId="77777777" w:rsidR="00593CC0" w:rsidRPr="009714AF" w:rsidRDefault="00593CC0" w:rsidP="00B9753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A025448" w14:textId="3326E344" w:rsidR="00593CC0" w:rsidRPr="00716EBA" w:rsidRDefault="00593CC0" w:rsidP="00B9753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4DA6B4D" wp14:editId="3BF14D15">
                  <wp:extent cx="254000" cy="1270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gridSpan w:val="2"/>
          </w:tcPr>
          <w:p w14:paraId="46684E95" w14:textId="77777777" w:rsidR="00593CC0" w:rsidRPr="009714AF" w:rsidRDefault="00593CC0" w:rsidP="00B97530">
            <w:pPr>
              <w:rPr>
                <w:sz w:val="18"/>
                <w:szCs w:val="18"/>
              </w:rPr>
            </w:pPr>
          </w:p>
        </w:tc>
      </w:tr>
      <w:tr w:rsidR="00593CC0" w14:paraId="2A7487A3" w14:textId="77777777" w:rsidTr="00225979">
        <w:tc>
          <w:tcPr>
            <w:tcW w:w="4878" w:type="dxa"/>
          </w:tcPr>
          <w:p w14:paraId="2D10FC86" w14:textId="77777777" w:rsidR="00593CC0" w:rsidRPr="009714AF" w:rsidRDefault="00593CC0" w:rsidP="00B9753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FB467C8" w14:textId="497E1037" w:rsidR="00593CC0" w:rsidRPr="00716EBA" w:rsidRDefault="00593CC0" w:rsidP="00B9753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A5364FB" wp14:editId="46C332BB">
                  <wp:extent cx="254000" cy="1270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gridSpan w:val="2"/>
          </w:tcPr>
          <w:p w14:paraId="46FE7252" w14:textId="77777777" w:rsidR="00593CC0" w:rsidRPr="009714AF" w:rsidRDefault="00593CC0" w:rsidP="00B97530">
            <w:pPr>
              <w:rPr>
                <w:sz w:val="18"/>
                <w:szCs w:val="18"/>
              </w:rPr>
            </w:pPr>
          </w:p>
        </w:tc>
      </w:tr>
      <w:tr w:rsidR="00593CC0" w14:paraId="38D4689F" w14:textId="77777777" w:rsidTr="00225979">
        <w:tc>
          <w:tcPr>
            <w:tcW w:w="4878" w:type="dxa"/>
          </w:tcPr>
          <w:p w14:paraId="53843581" w14:textId="77777777" w:rsidR="00593CC0" w:rsidRPr="009714AF" w:rsidRDefault="00593CC0" w:rsidP="00B9753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2058609" w14:textId="71D6FC69" w:rsidR="00593CC0" w:rsidRPr="00716EBA" w:rsidRDefault="00593CC0" w:rsidP="00B9753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C55BC43" wp14:editId="5ADD2B67">
                  <wp:extent cx="254000" cy="12700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gridSpan w:val="2"/>
          </w:tcPr>
          <w:p w14:paraId="78F3B785" w14:textId="77777777" w:rsidR="00593CC0" w:rsidRPr="009714AF" w:rsidRDefault="00593CC0" w:rsidP="00B97530">
            <w:pPr>
              <w:rPr>
                <w:sz w:val="18"/>
                <w:szCs w:val="18"/>
              </w:rPr>
            </w:pPr>
          </w:p>
        </w:tc>
      </w:tr>
      <w:tr w:rsidR="00593CC0" w14:paraId="45B9FEF4" w14:textId="77777777" w:rsidTr="00225979">
        <w:tc>
          <w:tcPr>
            <w:tcW w:w="4878" w:type="dxa"/>
          </w:tcPr>
          <w:p w14:paraId="0869659F" w14:textId="77777777" w:rsidR="00593CC0" w:rsidRPr="009714AF" w:rsidRDefault="00593CC0" w:rsidP="00B9753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E6C31F1" w14:textId="10AEE8A9" w:rsidR="00593CC0" w:rsidRPr="00716EBA" w:rsidRDefault="00593CC0" w:rsidP="00B9753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EAF2AC6" wp14:editId="10AE7AEF">
                  <wp:extent cx="254000" cy="1270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gridSpan w:val="2"/>
          </w:tcPr>
          <w:p w14:paraId="27C4D8B2" w14:textId="77777777" w:rsidR="00593CC0" w:rsidRPr="009714AF" w:rsidRDefault="00593CC0" w:rsidP="00B97530">
            <w:pPr>
              <w:rPr>
                <w:sz w:val="18"/>
                <w:szCs w:val="18"/>
              </w:rPr>
            </w:pPr>
          </w:p>
        </w:tc>
      </w:tr>
      <w:tr w:rsidR="00593CC0" w14:paraId="32F8093B" w14:textId="77777777" w:rsidTr="00225979">
        <w:tc>
          <w:tcPr>
            <w:tcW w:w="4878" w:type="dxa"/>
          </w:tcPr>
          <w:p w14:paraId="0B76ABC3" w14:textId="77777777" w:rsidR="00593CC0" w:rsidRPr="009714AF" w:rsidRDefault="00593CC0" w:rsidP="00B9753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2A81880" w14:textId="08CBEB7C" w:rsidR="00593CC0" w:rsidRPr="00716EBA" w:rsidRDefault="00593CC0" w:rsidP="00B9753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108BCE7" wp14:editId="5E01DEC4">
                  <wp:extent cx="254000" cy="1270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gridSpan w:val="2"/>
          </w:tcPr>
          <w:p w14:paraId="65C0DD56" w14:textId="77777777" w:rsidR="00593CC0" w:rsidRPr="009714AF" w:rsidRDefault="00593CC0" w:rsidP="00B97530">
            <w:pPr>
              <w:rPr>
                <w:sz w:val="18"/>
                <w:szCs w:val="18"/>
              </w:rPr>
            </w:pPr>
          </w:p>
        </w:tc>
      </w:tr>
      <w:tr w:rsidR="00593CC0" w14:paraId="227E921E" w14:textId="77777777" w:rsidTr="00225979">
        <w:tc>
          <w:tcPr>
            <w:tcW w:w="4878" w:type="dxa"/>
          </w:tcPr>
          <w:p w14:paraId="77C471E8" w14:textId="77777777" w:rsidR="00593CC0" w:rsidRPr="009714AF" w:rsidRDefault="00593CC0" w:rsidP="00B9753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652C32C" w14:textId="70628C40" w:rsidR="00593CC0" w:rsidRPr="00716EBA" w:rsidRDefault="00593CC0" w:rsidP="00B9753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04EDD67" wp14:editId="05D25063">
                  <wp:extent cx="254000" cy="1270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gridSpan w:val="2"/>
          </w:tcPr>
          <w:p w14:paraId="70164C6B" w14:textId="77777777" w:rsidR="00593CC0" w:rsidRPr="009714AF" w:rsidRDefault="00593CC0" w:rsidP="00B97530">
            <w:pPr>
              <w:rPr>
                <w:sz w:val="18"/>
                <w:szCs w:val="18"/>
              </w:rPr>
            </w:pPr>
          </w:p>
        </w:tc>
      </w:tr>
      <w:tr w:rsidR="00593CC0" w14:paraId="39594E85" w14:textId="77777777" w:rsidTr="00225979"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1F497D"/>
          </w:tcPr>
          <w:p w14:paraId="307FFEA8" w14:textId="77777777" w:rsidR="00593CC0" w:rsidRPr="00B73D75" w:rsidRDefault="00593CC0" w:rsidP="00B97530">
            <w:pPr>
              <w:rPr>
                <w:color w:val="FFFFFF"/>
              </w:rPr>
            </w:pPr>
            <w:r w:rsidRPr="00B73D75">
              <w:rPr>
                <w:b/>
                <w:color w:val="FFFFFF"/>
              </w:rPr>
              <w:t>Additionally, you may want to provide a brief narrative of the conclusions regarding the necessity and appropriateness of the proposed pre-requisite or co-requisite. (Not required)</w:t>
            </w:r>
          </w:p>
        </w:tc>
      </w:tr>
      <w:tr w:rsidR="00593CC0" w:rsidRPr="00295EB6" w14:paraId="5155D86A" w14:textId="77777777" w:rsidTr="00225979">
        <w:tblPrEx>
          <w:tblLook w:val="0000" w:firstRow="0" w:lastRow="0" w:firstColumn="0" w:lastColumn="0" w:noHBand="0" w:noVBand="0"/>
        </w:tblPrEx>
        <w:trPr>
          <w:gridAfter w:val="1"/>
          <w:wAfter w:w="18" w:type="dxa"/>
          <w:trHeight w:val="296"/>
        </w:trPr>
        <w:tc>
          <w:tcPr>
            <w:tcW w:w="10998" w:type="dxa"/>
            <w:gridSpan w:val="3"/>
          </w:tcPr>
          <w:p w14:paraId="7A20A48E" w14:textId="77777777" w:rsidR="00593CC0" w:rsidRPr="00295EB6" w:rsidRDefault="00593CC0" w:rsidP="00B97530"/>
        </w:tc>
      </w:tr>
    </w:tbl>
    <w:p w14:paraId="6C78E178" w14:textId="77777777" w:rsidR="00EE79A1" w:rsidRDefault="00EE79A1">
      <w:pPr>
        <w:spacing w:after="160" w:line="259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5BE09A89" w14:textId="0B509CEC" w:rsidR="00EE79A1" w:rsidRPr="00EE79A1" w:rsidRDefault="00EE79A1" w:rsidP="00EE79A1">
      <w:pPr>
        <w:ind w:left="542"/>
        <w:jc w:val="center"/>
      </w:pPr>
      <w:r w:rsidRPr="00EE79A1">
        <w:rPr>
          <w:b/>
          <w:sz w:val="32"/>
        </w:rPr>
        <w:lastRenderedPageBreak/>
        <w:t>Course Equity Rubric</w:t>
      </w:r>
    </w:p>
    <w:p w14:paraId="52955927" w14:textId="77777777" w:rsidR="00EE79A1" w:rsidRPr="00EE79A1" w:rsidRDefault="00EE79A1" w:rsidP="00EE79A1">
      <w:pPr>
        <w:spacing w:after="1" w:line="250" w:lineRule="auto"/>
        <w:ind w:left="357" w:hanging="10"/>
        <w:jc w:val="center"/>
      </w:pPr>
      <w:r w:rsidRPr="00EE79A1">
        <w:t>As requested by CCC's Academic Senate Council (ASC) July 2020 resolution, the CIC presents the Course Equity Rubric to assist departments with incorporating the African American Staff Association</w:t>
      </w:r>
      <w:r w:rsidRPr="00EE79A1">
        <w:rPr>
          <w:i/>
        </w:rPr>
        <w:t xml:space="preserve"> </w:t>
      </w:r>
      <w:r w:rsidRPr="00EE79A1">
        <w:t>(AASA)</w:t>
      </w:r>
      <w:r w:rsidRPr="00EE79A1">
        <w:rPr>
          <w:i/>
        </w:rPr>
        <w:t xml:space="preserve"> Call to Action </w:t>
      </w:r>
      <w:r w:rsidRPr="00EE79A1">
        <w:t xml:space="preserve">and the State </w:t>
      </w:r>
    </w:p>
    <w:p w14:paraId="468A0FC6" w14:textId="77777777" w:rsidR="00EE79A1" w:rsidRPr="00EE79A1" w:rsidRDefault="00EE79A1" w:rsidP="00EE79A1">
      <w:pPr>
        <w:spacing w:after="30" w:line="250" w:lineRule="auto"/>
        <w:ind w:left="357" w:right="7" w:hanging="10"/>
        <w:jc w:val="center"/>
      </w:pPr>
      <w:r w:rsidRPr="00EE79A1">
        <w:t>Chancellor's vision for racial and social justice in all courses</w:t>
      </w:r>
      <w:r w:rsidRPr="00EE79A1">
        <w:rPr>
          <w:i/>
        </w:rPr>
        <w:t>.</w:t>
      </w:r>
      <w:r w:rsidRPr="00EE79A1">
        <w:t xml:space="preserve"> Through the lens of the college's </w:t>
      </w:r>
      <w:proofErr w:type="gramStart"/>
      <w:r w:rsidRPr="00EE79A1">
        <w:t>ILO's</w:t>
      </w:r>
      <w:proofErr w:type="gramEnd"/>
      <w:r w:rsidRPr="00EE79A1">
        <w:t xml:space="preserve"> as listed below, this self-assessment rubric will be used in the content review process to provide a method of measuring progress towards achieving equity across the CCC curriculum.</w:t>
      </w:r>
    </w:p>
    <w:p w14:paraId="398BFA45" w14:textId="77777777" w:rsidR="00EE79A1" w:rsidRPr="00EE79A1" w:rsidRDefault="00EE79A1" w:rsidP="00EE79A1">
      <w:pPr>
        <w:ind w:left="500"/>
      </w:pPr>
      <w:r w:rsidRPr="00EE79A1">
        <w:rPr>
          <w:b/>
        </w:rPr>
        <w:t xml:space="preserve">CCC Institutional Learning Outcomes: </w:t>
      </w:r>
    </w:p>
    <w:p w14:paraId="4A0CECA7" w14:textId="77777777" w:rsidR="00EE79A1" w:rsidRPr="00EE79A1" w:rsidRDefault="00EE79A1" w:rsidP="00EE79A1">
      <w:pPr>
        <w:spacing w:after="109"/>
        <w:ind w:left="519" w:hanging="10"/>
      </w:pPr>
      <w:r w:rsidRPr="00EE79A1">
        <w:t xml:space="preserve">Support an environment that encourages and enables the members of our community to gain: </w:t>
      </w:r>
    </w:p>
    <w:p w14:paraId="6CDF965C" w14:textId="77777777" w:rsidR="00EE79A1" w:rsidRPr="00EE79A1" w:rsidRDefault="00EE79A1" w:rsidP="00EE79A1">
      <w:pPr>
        <w:numPr>
          <w:ilvl w:val="0"/>
          <w:numId w:val="2"/>
        </w:numPr>
        <w:spacing w:line="259" w:lineRule="auto"/>
        <w:ind w:hanging="293"/>
      </w:pPr>
      <w:r w:rsidRPr="00EE79A1">
        <w:t>Critical thinking skills and abilities, including evaluating, analyzing, and applying information.</w:t>
      </w:r>
    </w:p>
    <w:p w14:paraId="58984380" w14:textId="77777777" w:rsidR="00EE79A1" w:rsidRPr="00EE79A1" w:rsidRDefault="00EE79A1" w:rsidP="00EE79A1">
      <w:pPr>
        <w:numPr>
          <w:ilvl w:val="0"/>
          <w:numId w:val="2"/>
        </w:numPr>
        <w:spacing w:line="259" w:lineRule="auto"/>
        <w:ind w:hanging="293"/>
      </w:pPr>
      <w:r w:rsidRPr="00EE79A1">
        <w:t>Communication skills using verbal, auditory, written, numerical, and visual forms.</w:t>
      </w:r>
    </w:p>
    <w:p w14:paraId="64627DE8" w14:textId="77777777" w:rsidR="00EE79A1" w:rsidRPr="00EE79A1" w:rsidRDefault="00EE79A1" w:rsidP="00EE79A1">
      <w:pPr>
        <w:numPr>
          <w:ilvl w:val="0"/>
          <w:numId w:val="2"/>
        </w:numPr>
        <w:spacing w:line="259" w:lineRule="auto"/>
        <w:ind w:hanging="293"/>
      </w:pPr>
      <w:r w:rsidRPr="00EE79A1">
        <w:t>Awareness of themselves, their community, and the world around them, leading to personal responsibility, ethics, and civic engagement.</w:t>
      </w:r>
    </w:p>
    <w:tbl>
      <w:tblPr>
        <w:tblW w:w="10890" w:type="dxa"/>
        <w:tblInd w:w="-5" w:type="dxa"/>
        <w:tblCellMar>
          <w:left w:w="110" w:type="dxa"/>
          <w:right w:w="66" w:type="dxa"/>
        </w:tblCellMar>
        <w:tblLook w:val="04A0" w:firstRow="1" w:lastRow="0" w:firstColumn="1" w:lastColumn="0" w:noHBand="0" w:noVBand="1"/>
      </w:tblPr>
      <w:tblGrid>
        <w:gridCol w:w="2070"/>
        <w:gridCol w:w="2610"/>
        <w:gridCol w:w="3420"/>
        <w:gridCol w:w="2790"/>
      </w:tblGrid>
      <w:tr w:rsidR="00EE79A1" w:rsidRPr="00EE79A1" w14:paraId="518EBE60" w14:textId="77777777" w:rsidTr="00EE79A1">
        <w:trPr>
          <w:trHeight w:val="571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2983" w14:textId="77777777" w:rsidR="00EE79A1" w:rsidRPr="00EE79A1" w:rsidRDefault="00EE79A1" w:rsidP="00EE79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6692" w14:textId="77777777" w:rsidR="00EE79A1" w:rsidRPr="00EE79A1" w:rsidRDefault="00EE79A1" w:rsidP="00EE79A1">
            <w:pPr>
              <w:ind w:left="28"/>
              <w:jc w:val="center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rFonts w:ascii="Cambria" w:eastAsia="Cambria" w:hAnsi="Cambria" w:cs="Cambria"/>
                <w:b/>
                <w:sz w:val="24"/>
                <w:szCs w:val="22"/>
              </w:rPr>
              <w:t xml:space="preserve">Incomplete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E308" w14:textId="77777777" w:rsidR="00EE79A1" w:rsidRPr="00EE79A1" w:rsidRDefault="00EE79A1" w:rsidP="00EE79A1">
            <w:pPr>
              <w:ind w:left="15"/>
              <w:jc w:val="center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rFonts w:ascii="Cambria" w:eastAsia="Cambria" w:hAnsi="Cambria" w:cs="Cambria"/>
                <w:b/>
                <w:sz w:val="24"/>
                <w:szCs w:val="22"/>
              </w:rPr>
              <w:t xml:space="preserve">Aligned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6446" w14:textId="77777777" w:rsidR="00EE79A1" w:rsidRPr="00EE79A1" w:rsidRDefault="00EE79A1" w:rsidP="00EE79A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rFonts w:ascii="Cambria" w:eastAsia="Cambria" w:hAnsi="Cambria" w:cs="Cambria"/>
                <w:b/>
                <w:sz w:val="24"/>
                <w:szCs w:val="22"/>
              </w:rPr>
              <w:t xml:space="preserve">Additional Exemplary Elements </w:t>
            </w:r>
          </w:p>
        </w:tc>
      </w:tr>
      <w:tr w:rsidR="00EE79A1" w:rsidRPr="00EE79A1" w14:paraId="19C857B3" w14:textId="77777777" w:rsidTr="00EF1C05">
        <w:trPr>
          <w:trHeight w:val="218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46E8" w14:textId="77777777" w:rsidR="00EE79A1" w:rsidRPr="00EE79A1" w:rsidRDefault="00EE79A1" w:rsidP="00EE79A1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rFonts w:ascii="Cambria" w:eastAsia="Cambria" w:hAnsi="Cambria" w:cs="Cambria"/>
                <w:b/>
                <w:sz w:val="24"/>
                <w:szCs w:val="22"/>
              </w:rPr>
              <w:t xml:space="preserve">E1: Technology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30E9" w14:textId="77777777" w:rsidR="00EE79A1" w:rsidRPr="00EE79A1" w:rsidRDefault="00EE79A1" w:rsidP="00EE79A1">
            <w:pPr>
              <w:ind w:right="110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Technology needs aren’t clear, or issues related to technology access are not addressed.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3395" w14:textId="77777777" w:rsidR="00EE79A1" w:rsidRPr="00EE79A1" w:rsidRDefault="00EE79A1" w:rsidP="00EE79A1">
            <w:pPr>
              <w:ind w:right="57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>All technology required for the course is listed and described in the COR.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CC45" w14:textId="77777777" w:rsidR="00EE79A1" w:rsidRPr="00EE79A1" w:rsidRDefault="00EE79A1" w:rsidP="00EE79A1">
            <w:pPr>
              <w:ind w:left="149" w:right="81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Review of syllabus shows alternatives for students with technology impediments, and clearly delineates where/how students can get assistance with required course technology. </w:t>
            </w:r>
          </w:p>
        </w:tc>
      </w:tr>
      <w:tr w:rsidR="00EE79A1" w:rsidRPr="00EE79A1" w14:paraId="321C757F" w14:textId="77777777" w:rsidTr="00EF1C05">
        <w:trPr>
          <w:trHeight w:val="251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91F55" w14:textId="77777777" w:rsidR="00EE79A1" w:rsidRPr="00EE79A1" w:rsidRDefault="00EE79A1" w:rsidP="00EE79A1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rFonts w:ascii="Cambria" w:eastAsia="Cambria" w:hAnsi="Cambria" w:cs="Cambria"/>
                <w:b/>
                <w:sz w:val="24"/>
                <w:szCs w:val="22"/>
              </w:rPr>
              <w:t xml:space="preserve">E2: Student </w:t>
            </w:r>
          </w:p>
          <w:p w14:paraId="6593C749" w14:textId="77777777" w:rsidR="00EE79A1" w:rsidRPr="00EE79A1" w:rsidRDefault="00EE79A1" w:rsidP="00EE79A1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rFonts w:ascii="Cambria" w:eastAsia="Cambria" w:hAnsi="Cambria" w:cs="Cambria"/>
                <w:b/>
                <w:sz w:val="24"/>
                <w:szCs w:val="22"/>
              </w:rPr>
              <w:t xml:space="preserve">Resources and </w:t>
            </w:r>
          </w:p>
          <w:p w14:paraId="71511954" w14:textId="77777777" w:rsidR="00EE79A1" w:rsidRPr="00EE79A1" w:rsidRDefault="00EE79A1" w:rsidP="00EE79A1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rFonts w:ascii="Cambria" w:eastAsia="Cambria" w:hAnsi="Cambria" w:cs="Cambria"/>
                <w:b/>
                <w:sz w:val="24"/>
                <w:szCs w:val="22"/>
              </w:rPr>
              <w:t xml:space="preserve">Support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5953D" w14:textId="77777777" w:rsidR="00EE79A1" w:rsidRPr="00EE79A1" w:rsidRDefault="00EE79A1" w:rsidP="00EE79A1">
            <w:pPr>
              <w:ind w:right="13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Information about how students access student services and support is incomplete.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2A64" w14:textId="77777777" w:rsidR="00EE79A1" w:rsidRPr="00EE79A1" w:rsidRDefault="00EE79A1" w:rsidP="00EE79A1">
            <w:pPr>
              <w:spacing w:after="1" w:line="243" w:lineRule="auto"/>
              <w:ind w:right="15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Syllabus review outlines student support &amp; well-being services in, at least, these areas: </w:t>
            </w:r>
          </w:p>
          <w:p w14:paraId="7B2D89CD" w14:textId="77777777" w:rsidR="00EF1C05" w:rsidRDefault="00EE79A1" w:rsidP="00EE79A1">
            <w:pPr>
              <w:rPr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a) general student assistance, </w:t>
            </w:r>
          </w:p>
          <w:p w14:paraId="037A84CF" w14:textId="77777777" w:rsidR="00EF1C05" w:rsidRDefault="00EE79A1" w:rsidP="00EE79A1">
            <w:pPr>
              <w:rPr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b) online academic supports; </w:t>
            </w:r>
          </w:p>
          <w:p w14:paraId="7F160103" w14:textId="1D0C7F40" w:rsidR="00EE79A1" w:rsidRPr="00EE79A1" w:rsidRDefault="00EE79A1" w:rsidP="00EE79A1">
            <w:pPr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>c) assistance with using technology; d) health and wellbeing resources; and/or e) resources for students with disabilities.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C342" w14:textId="77777777" w:rsidR="00EE79A1" w:rsidRPr="00EE79A1" w:rsidRDefault="00EE79A1" w:rsidP="00EE79A1">
            <w:pPr>
              <w:ind w:right="75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>In addition to outlining student support resources, there are clear explanations and pathways for students to access and utilize all needed resources including mentoring programs and learning communities (</w:t>
            </w:r>
            <w:proofErr w:type="gramStart"/>
            <w:r w:rsidRPr="00EE79A1">
              <w:rPr>
                <w:sz w:val="22"/>
                <w:szCs w:val="22"/>
              </w:rPr>
              <w:t>i.e.</w:t>
            </w:r>
            <w:proofErr w:type="gramEnd"/>
            <w:r w:rsidRPr="00EE79A1">
              <w:rPr>
                <w:sz w:val="22"/>
                <w:szCs w:val="22"/>
              </w:rPr>
              <w:t xml:space="preserve"> CSE, Per Ankh, &amp; Puente) </w:t>
            </w:r>
          </w:p>
        </w:tc>
      </w:tr>
      <w:tr w:rsidR="00EE79A1" w:rsidRPr="00EE79A1" w14:paraId="1A1C87B2" w14:textId="77777777" w:rsidTr="00EF1C05">
        <w:trPr>
          <w:trHeight w:val="1961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5DA9" w14:textId="77777777" w:rsidR="00EE79A1" w:rsidRPr="00EE79A1" w:rsidRDefault="00EE79A1" w:rsidP="00EE79A1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rFonts w:ascii="Cambria" w:eastAsia="Cambria" w:hAnsi="Cambria" w:cs="Cambria"/>
                <w:b/>
                <w:sz w:val="24"/>
                <w:szCs w:val="22"/>
              </w:rPr>
              <w:t xml:space="preserve">E3: Universal </w:t>
            </w:r>
          </w:p>
          <w:p w14:paraId="5619CBAC" w14:textId="77777777" w:rsidR="00EE79A1" w:rsidRPr="00EE79A1" w:rsidRDefault="00EE79A1" w:rsidP="00EE79A1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rFonts w:ascii="Cambria" w:eastAsia="Cambria" w:hAnsi="Cambria" w:cs="Cambria"/>
                <w:b/>
                <w:sz w:val="24"/>
                <w:szCs w:val="22"/>
              </w:rPr>
              <w:t xml:space="preserve">Design for </w:t>
            </w:r>
          </w:p>
          <w:p w14:paraId="36A776ED" w14:textId="77777777" w:rsidR="00EE79A1" w:rsidRPr="00EE79A1" w:rsidRDefault="00EE79A1" w:rsidP="00EE79A1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rFonts w:ascii="Cambria" w:eastAsia="Cambria" w:hAnsi="Cambria" w:cs="Cambria"/>
                <w:b/>
                <w:sz w:val="24"/>
                <w:szCs w:val="22"/>
              </w:rPr>
              <w:t>Learning</w:t>
            </w:r>
            <w:hyperlink r:id="rId14">
              <w:r w:rsidRPr="00EE79A1">
                <w:rPr>
                  <w:rFonts w:ascii="Cambria" w:eastAsia="Cambria" w:hAnsi="Cambria" w:cs="Cambria"/>
                  <w:b/>
                  <w:sz w:val="24"/>
                  <w:szCs w:val="22"/>
                </w:rPr>
                <w:t xml:space="preserve"> (</w:t>
              </w:r>
            </w:hyperlink>
            <w:hyperlink r:id="rId15">
              <w:r w:rsidRPr="00EE79A1">
                <w:rPr>
                  <w:rFonts w:ascii="Cambria" w:eastAsia="Cambria" w:hAnsi="Cambria" w:cs="Cambria"/>
                  <w:b/>
                  <w:color w:val="0000C8"/>
                  <w:sz w:val="24"/>
                  <w:szCs w:val="22"/>
                </w:rPr>
                <w:t>UDL</w:t>
              </w:r>
            </w:hyperlink>
            <w:hyperlink r:id="rId16">
              <w:r w:rsidRPr="00EE79A1">
                <w:rPr>
                  <w:rFonts w:ascii="Cambria" w:eastAsia="Cambria" w:hAnsi="Cambria" w:cs="Cambria"/>
                  <w:b/>
                  <w:sz w:val="24"/>
                  <w:szCs w:val="22"/>
                </w:rPr>
                <w:t xml:space="preserve">) </w:t>
              </w:r>
            </w:hyperlink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3C16" w14:textId="77777777" w:rsidR="00EE79A1" w:rsidRPr="00EE79A1" w:rsidRDefault="00EE79A1" w:rsidP="00EE79A1">
            <w:pPr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Course content and activities are not aligned to UDL principles.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F79A" w14:textId="77777777" w:rsidR="00EE79A1" w:rsidRPr="00EE79A1" w:rsidRDefault="00EE79A1" w:rsidP="00EE79A1">
            <w:pPr>
              <w:ind w:right="26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Course content and activities are aligned with core principles of UDL--i.e., multiple means of representation, action &amp; expression, and/or engagement.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A018" w14:textId="77777777" w:rsidR="00EE79A1" w:rsidRPr="00EE79A1" w:rsidRDefault="00EE79A1" w:rsidP="00EE79A1">
            <w:pPr>
              <w:ind w:right="208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>Current syllabi explain how and why course content and activities are aligned with specific UDL principles (so that all students can access them and use them equally)</w:t>
            </w:r>
          </w:p>
        </w:tc>
      </w:tr>
      <w:tr w:rsidR="00EE79A1" w:rsidRPr="00EE79A1" w14:paraId="3B517A6A" w14:textId="77777777" w:rsidTr="00EE79A1">
        <w:trPr>
          <w:trHeight w:val="242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7C5F" w14:textId="77777777" w:rsidR="00EE79A1" w:rsidRPr="00EE79A1" w:rsidRDefault="00EE79A1" w:rsidP="00EE79A1">
            <w:pPr>
              <w:spacing w:line="290" w:lineRule="auto"/>
              <w:ind w:left="4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rFonts w:ascii="Cambria" w:eastAsia="Cambria" w:hAnsi="Cambria" w:cs="Cambria"/>
                <w:b/>
                <w:sz w:val="24"/>
                <w:szCs w:val="22"/>
              </w:rPr>
              <w:t>E4:  Diversity and Inclusion</w:t>
            </w:r>
            <w:r w:rsidRPr="00EE79A1">
              <w:rPr>
                <w:b/>
                <w:sz w:val="24"/>
                <w:szCs w:val="22"/>
              </w:rPr>
              <w:t xml:space="preserve"> </w:t>
            </w:r>
          </w:p>
          <w:p w14:paraId="1C463802" w14:textId="77777777" w:rsidR="00EE79A1" w:rsidRPr="00EE79A1" w:rsidRDefault="00EE79A1" w:rsidP="00EE79A1">
            <w:pPr>
              <w:ind w:left="4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b/>
                <w:szCs w:val="22"/>
              </w:rPr>
              <w:t>(</w:t>
            </w:r>
            <w:proofErr w:type="gramStart"/>
            <w:r w:rsidRPr="00EE79A1">
              <w:rPr>
                <w:b/>
                <w:szCs w:val="22"/>
              </w:rPr>
              <w:t>in</w:t>
            </w:r>
            <w:proofErr w:type="gramEnd"/>
            <w:r w:rsidRPr="00EE79A1">
              <w:rPr>
                <w:b/>
                <w:szCs w:val="22"/>
              </w:rPr>
              <w:t xml:space="preserve"> ideas and perspectives)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62FE" w14:textId="77777777" w:rsidR="00EE79A1" w:rsidRPr="00EE79A1" w:rsidRDefault="00EE79A1" w:rsidP="00EE79A1">
            <w:pPr>
              <w:ind w:right="96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Nothing present that indicates that diversity is valued in the course.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581F1" w14:textId="77777777" w:rsidR="00EE79A1" w:rsidRPr="00EE79A1" w:rsidRDefault="00EE79A1" w:rsidP="00EE79A1">
            <w:pPr>
              <w:spacing w:after="1" w:line="217" w:lineRule="auto"/>
              <w:ind w:left="4" w:right="303"/>
              <w:jc w:val="both"/>
              <w:rPr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Diversity is explicitly valued in areas such as: </w:t>
            </w:r>
          </w:p>
          <w:p w14:paraId="6FB6C1F4" w14:textId="77777777" w:rsidR="00EE79A1" w:rsidRPr="00EE79A1" w:rsidRDefault="00EE79A1" w:rsidP="00EE79A1">
            <w:pPr>
              <w:spacing w:after="1" w:line="217" w:lineRule="auto"/>
              <w:ind w:left="4" w:right="303"/>
              <w:jc w:val="both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rFonts w:ascii="Segoe UI Symbol" w:eastAsia="Segoe UI Symbol" w:hAnsi="Segoe UI Symbol" w:cs="Segoe UI Symbol"/>
                <w:sz w:val="22"/>
                <w:szCs w:val="22"/>
              </w:rPr>
              <w:t xml:space="preserve"> •   </w:t>
            </w:r>
            <w:r w:rsidRPr="00EE79A1">
              <w:rPr>
                <w:szCs w:val="22"/>
              </w:rPr>
              <w:t>Objectives</w:t>
            </w:r>
          </w:p>
          <w:p w14:paraId="513BB1D0" w14:textId="77777777" w:rsidR="00EE79A1" w:rsidRPr="00EE79A1" w:rsidRDefault="00EE79A1" w:rsidP="00EE79A1">
            <w:pPr>
              <w:numPr>
                <w:ilvl w:val="0"/>
                <w:numId w:val="3"/>
              </w:num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Cs w:val="22"/>
              </w:rPr>
              <w:t>Textbook/curricula selections</w:t>
            </w:r>
          </w:p>
          <w:p w14:paraId="7A216248" w14:textId="77777777" w:rsidR="00EE79A1" w:rsidRPr="00EE79A1" w:rsidRDefault="00EE79A1" w:rsidP="00EE79A1">
            <w:pPr>
              <w:numPr>
                <w:ilvl w:val="0"/>
                <w:numId w:val="3"/>
              </w:num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Cs w:val="22"/>
              </w:rPr>
              <w:t>Assignment sample</w:t>
            </w:r>
          </w:p>
          <w:p w14:paraId="6DC46FAC" w14:textId="77777777" w:rsidR="00EE79A1" w:rsidRPr="00EE79A1" w:rsidRDefault="00EE79A1" w:rsidP="00EE79A1">
            <w:pPr>
              <w:numPr>
                <w:ilvl w:val="0"/>
                <w:numId w:val="3"/>
              </w:num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Cs w:val="22"/>
              </w:rPr>
              <w:t xml:space="preserve">A </w:t>
            </w:r>
            <w:proofErr w:type="gramStart"/>
            <w:r w:rsidRPr="00EE79A1">
              <w:rPr>
                <w:szCs w:val="22"/>
              </w:rPr>
              <w:t>diversity  statement</w:t>
            </w:r>
            <w:proofErr w:type="gramEnd"/>
            <w:r w:rsidRPr="00EE79A1">
              <w:rPr>
                <w:szCs w:val="22"/>
              </w:rPr>
              <w:t xml:space="preserve"> in the course syllabus, which require students to analyze course content from multiple perspectives.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FBB8" w14:textId="77777777" w:rsidR="00EE79A1" w:rsidRPr="00EE79A1" w:rsidRDefault="00EE79A1" w:rsidP="00EE79A1">
            <w:pPr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Throughout the course, learning activities demonstrate that diverse ideas and perspectives are valued in the course, and students are challenged to analyze how diversity fosters learning. </w:t>
            </w:r>
          </w:p>
        </w:tc>
      </w:tr>
      <w:tr w:rsidR="00EE79A1" w:rsidRPr="00EE79A1" w14:paraId="15FD09E8" w14:textId="77777777" w:rsidTr="00EE79A1">
        <w:trPr>
          <w:trHeight w:val="197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13AB" w14:textId="77777777" w:rsidR="00EE79A1" w:rsidRPr="00EE79A1" w:rsidRDefault="00EE79A1" w:rsidP="00EE79A1">
            <w:pPr>
              <w:spacing w:line="241" w:lineRule="auto"/>
              <w:ind w:left="4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rFonts w:ascii="Cambria" w:eastAsia="Cambria" w:hAnsi="Cambria" w:cs="Cambria"/>
                <w:b/>
                <w:sz w:val="24"/>
                <w:szCs w:val="22"/>
              </w:rPr>
              <w:lastRenderedPageBreak/>
              <w:t>E5: Images and representation</w:t>
            </w:r>
          </w:p>
          <w:p w14:paraId="794954D2" w14:textId="77777777" w:rsidR="00EE79A1" w:rsidRPr="00EE79A1" w:rsidRDefault="00EE79A1" w:rsidP="00EE79A1">
            <w:pPr>
              <w:ind w:left="4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b/>
                <w:szCs w:val="22"/>
              </w:rPr>
              <w:t>(</w:t>
            </w:r>
            <w:proofErr w:type="gramStart"/>
            <w:r w:rsidRPr="00EE79A1">
              <w:rPr>
                <w:b/>
                <w:szCs w:val="22"/>
              </w:rPr>
              <w:t>including</w:t>
            </w:r>
            <w:proofErr w:type="gramEnd"/>
            <w:r w:rsidRPr="00EE79A1">
              <w:rPr>
                <w:b/>
                <w:szCs w:val="22"/>
              </w:rPr>
              <w:t xml:space="preserve"> ethnic, cultural, and racial representation)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49BD" w14:textId="5487197C" w:rsidR="00EE79A1" w:rsidRPr="00EE79A1" w:rsidRDefault="00EE79A1" w:rsidP="00EE79A1">
            <w:pPr>
              <w:spacing w:line="244" w:lineRule="auto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Images and representations of people are homogenous and/or stereotypical, without acknowledgment or explanation.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8F8E" w14:textId="77777777" w:rsidR="00EE79A1" w:rsidRPr="00EE79A1" w:rsidRDefault="00EE79A1" w:rsidP="00EE79A1">
            <w:pPr>
              <w:ind w:right="94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Images and representations are diverse, and/or the instructor acknowledges the lack of diversity and provides a platform for discussion around representations and stereotypes.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27C2" w14:textId="77777777" w:rsidR="00EE79A1" w:rsidRPr="00EE79A1" w:rsidRDefault="00EE79A1" w:rsidP="00EE79A1">
            <w:pPr>
              <w:ind w:right="62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Images and representations reflect broad diversity, and course activities encourage students to analyze representations and stereotypes throughout the course. </w:t>
            </w:r>
          </w:p>
        </w:tc>
      </w:tr>
      <w:tr w:rsidR="00EE79A1" w:rsidRPr="00EE79A1" w14:paraId="0E0EC396" w14:textId="77777777" w:rsidTr="00EE79A1">
        <w:trPr>
          <w:trHeight w:val="207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C740" w14:textId="77777777" w:rsidR="00EE79A1" w:rsidRPr="00EE79A1" w:rsidRDefault="00EE79A1" w:rsidP="00EE79A1">
            <w:pPr>
              <w:spacing w:line="268" w:lineRule="auto"/>
              <w:ind w:left="1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rFonts w:ascii="Cambria" w:eastAsia="Cambria" w:hAnsi="Cambria" w:cs="Cambria"/>
                <w:b/>
                <w:sz w:val="24"/>
                <w:szCs w:val="22"/>
              </w:rPr>
              <w:t>E6: Human Bias</w:t>
            </w:r>
            <w:r w:rsidRPr="00EE79A1">
              <w:rPr>
                <w:b/>
                <w:sz w:val="24"/>
                <w:szCs w:val="22"/>
              </w:rPr>
              <w:t xml:space="preserve">/ Anti-racism </w:t>
            </w:r>
          </w:p>
          <w:p w14:paraId="52F59E0B" w14:textId="77777777" w:rsidR="00EE79A1" w:rsidRPr="00EE79A1" w:rsidRDefault="00EE79A1" w:rsidP="00EE79A1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b/>
                <w:szCs w:val="22"/>
              </w:rPr>
              <w:t>(</w:t>
            </w:r>
            <w:proofErr w:type="gramStart"/>
            <w:r w:rsidRPr="00EE79A1">
              <w:rPr>
                <w:b/>
                <w:szCs w:val="22"/>
              </w:rPr>
              <w:t>including</w:t>
            </w:r>
            <w:proofErr w:type="gramEnd"/>
            <w:r w:rsidRPr="00EE79A1">
              <w:rPr>
                <w:b/>
                <w:szCs w:val="22"/>
              </w:rPr>
              <w:t xml:space="preserve"> racial and social justice)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E3E3" w14:textId="77777777" w:rsidR="00EE79A1" w:rsidRPr="00EE79A1" w:rsidRDefault="00EE79A1" w:rsidP="00EE79A1">
            <w:pPr>
              <w:ind w:right="157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>Human biases (</w:t>
            </w:r>
            <w:proofErr w:type="spellStart"/>
            <w:r w:rsidRPr="00EE79A1">
              <w:rPr>
                <w:sz w:val="22"/>
                <w:szCs w:val="22"/>
              </w:rPr>
              <w:t>e.g</w:t>
            </w:r>
            <w:proofErr w:type="spellEnd"/>
            <w:r w:rsidRPr="00EE79A1">
              <w:rPr>
                <w:sz w:val="22"/>
                <w:szCs w:val="22"/>
              </w:rPr>
              <w:t xml:space="preserve"> interaction bias, implicit bias, etc.) are not clearly addressed. No antiracism material is included.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F57C6" w14:textId="77777777" w:rsidR="00EE79A1" w:rsidRPr="00EE79A1" w:rsidRDefault="00EE79A1" w:rsidP="00EE79A1">
            <w:pPr>
              <w:ind w:right="328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>Human biases are acknowledged, and syllabus/ course content provide(s) information about how to address and handle different types of bias in the class. Anti-racism statement or assignment is included.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3EBD" w14:textId="77777777" w:rsidR="00EE79A1" w:rsidRPr="00EE79A1" w:rsidRDefault="00EE79A1" w:rsidP="00EE79A1">
            <w:pPr>
              <w:ind w:left="27" w:right="170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Course provides methods and empowers students to identify, learn about, and address human biases. Course actively promotes anti-racism activities and assignments </w:t>
            </w:r>
          </w:p>
        </w:tc>
      </w:tr>
      <w:tr w:rsidR="00EE79A1" w:rsidRPr="00EE79A1" w14:paraId="7A20CC2B" w14:textId="77777777" w:rsidTr="00EF1C05">
        <w:trPr>
          <w:trHeight w:val="185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0CAF" w14:textId="77777777" w:rsidR="00EE79A1" w:rsidRPr="00EE79A1" w:rsidRDefault="00EE79A1" w:rsidP="00EE79A1">
            <w:pPr>
              <w:ind w:left="1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rFonts w:ascii="Cambria" w:eastAsia="Cambria" w:hAnsi="Cambria" w:cs="Cambria"/>
                <w:b/>
                <w:sz w:val="24"/>
                <w:szCs w:val="22"/>
              </w:rPr>
              <w:t xml:space="preserve">E7: Content Meaning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8273" w14:textId="77777777" w:rsidR="00EE79A1" w:rsidRPr="00EE79A1" w:rsidRDefault="00EE79A1" w:rsidP="00EE79A1">
            <w:pPr>
              <w:ind w:right="365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There are no clear connections between course content and students’ lives.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22655" w14:textId="77777777" w:rsidR="00EE79A1" w:rsidRPr="00EE79A1" w:rsidRDefault="00EE79A1" w:rsidP="00EE79A1">
            <w:pPr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Proposed course activities require students to connect course content to their own lives and/or reflect on course </w:t>
            </w:r>
            <w:proofErr w:type="gramStart"/>
            <w:r w:rsidRPr="00EE79A1">
              <w:rPr>
                <w:sz w:val="22"/>
                <w:szCs w:val="22"/>
              </w:rPr>
              <w:t>content  relevant</w:t>
            </w:r>
            <w:proofErr w:type="gramEnd"/>
            <w:r w:rsidRPr="00EE79A1">
              <w:rPr>
                <w:sz w:val="22"/>
                <w:szCs w:val="22"/>
              </w:rPr>
              <w:t xml:space="preserve"> to their futures. This includes using multiple teaching methods.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5953" w14:textId="77777777" w:rsidR="00EE79A1" w:rsidRPr="00EE79A1" w:rsidRDefault="00EE79A1" w:rsidP="00EE79A1">
            <w:pPr>
              <w:ind w:right="113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Proposed course activities require students to connect course content to their sociocultural backgrounds and/or the socio-cultural backgrounds of others. </w:t>
            </w:r>
          </w:p>
        </w:tc>
      </w:tr>
      <w:tr w:rsidR="00EE79A1" w:rsidRPr="00EE79A1" w14:paraId="1D74E95F" w14:textId="77777777" w:rsidTr="00EF1C05">
        <w:trPr>
          <w:trHeight w:val="213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9A1C" w14:textId="77777777" w:rsidR="00EE79A1" w:rsidRPr="00EE79A1" w:rsidRDefault="00EE79A1" w:rsidP="00EE79A1">
            <w:pPr>
              <w:ind w:left="1"/>
              <w:jc w:val="both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rFonts w:ascii="Cambria" w:eastAsia="Cambria" w:hAnsi="Cambria" w:cs="Cambria"/>
                <w:b/>
                <w:sz w:val="24"/>
                <w:szCs w:val="22"/>
              </w:rPr>
              <w:t xml:space="preserve">E8: Connection and Belonging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1431" w14:textId="77777777" w:rsidR="00EE79A1" w:rsidRPr="00EE79A1" w:rsidRDefault="00EE79A1" w:rsidP="00EE79A1">
            <w:pPr>
              <w:ind w:right="76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Student connections and a sense of belonging within the course are not fostered through course communications and activities.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647B" w14:textId="77777777" w:rsidR="00EE79A1" w:rsidRPr="00EE79A1" w:rsidRDefault="00EE79A1" w:rsidP="00EE79A1">
            <w:pPr>
              <w:spacing w:line="243" w:lineRule="auto"/>
              <w:ind w:right="105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Course communication </w:t>
            </w:r>
            <w:proofErr w:type="gramStart"/>
            <w:r w:rsidRPr="00EE79A1">
              <w:rPr>
                <w:sz w:val="22"/>
                <w:szCs w:val="22"/>
              </w:rPr>
              <w:t>policy  and</w:t>
            </w:r>
            <w:proofErr w:type="gramEnd"/>
            <w:r w:rsidRPr="00EE79A1">
              <w:rPr>
                <w:sz w:val="22"/>
                <w:szCs w:val="22"/>
              </w:rPr>
              <w:t xml:space="preserve"> activities foster personal connections among students, and demonstrate the instructor cares about each unique student’s </w:t>
            </w:r>
          </w:p>
          <w:p w14:paraId="3568A3DE" w14:textId="77777777" w:rsidR="00EE79A1" w:rsidRPr="00EE79A1" w:rsidRDefault="00EE79A1" w:rsidP="00EE79A1">
            <w:pPr>
              <w:ind w:right="73"/>
              <w:jc w:val="both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participation and success in the class.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45AE" w14:textId="1AD31599" w:rsidR="00EE79A1" w:rsidRPr="00EE79A1" w:rsidRDefault="00EE79A1" w:rsidP="00EE79A1">
            <w:pPr>
              <w:ind w:right="92"/>
              <w:rPr>
                <w:rFonts w:ascii="Calibri" w:hAnsi="Calibri"/>
                <w:sz w:val="22"/>
                <w:szCs w:val="22"/>
              </w:rPr>
            </w:pPr>
            <w:r w:rsidRPr="00EE79A1">
              <w:rPr>
                <w:sz w:val="22"/>
                <w:szCs w:val="22"/>
              </w:rPr>
              <w:t xml:space="preserve">Course communications policy and activities deepen connections among class participants, and encourage students to connect to the institution and the discipline more broadly. </w:t>
            </w:r>
          </w:p>
        </w:tc>
      </w:tr>
    </w:tbl>
    <w:p w14:paraId="2929AE17" w14:textId="2EF06174" w:rsidR="00EE79A1" w:rsidRPr="00EE79A1" w:rsidRDefault="003C6FA0" w:rsidP="00EE79A1">
      <w:pPr>
        <w:ind w:right="3"/>
        <w:jc w:val="center"/>
      </w:pPr>
      <w:r w:rsidRPr="00EE79A1">
        <w:rPr>
          <w:noProof/>
        </w:rPr>
        <w:drawing>
          <wp:anchor distT="0" distB="0" distL="114300" distR="114300" simplePos="0" relativeHeight="251660288" behindDoc="1" locked="0" layoutInCell="1" allowOverlap="1" wp14:anchorId="2DE0C960" wp14:editId="47BFAC53">
            <wp:simplePos x="0" y="0"/>
            <wp:positionH relativeFrom="column">
              <wp:posOffset>6144005</wp:posOffset>
            </wp:positionH>
            <wp:positionV relativeFrom="paragraph">
              <wp:posOffset>12700</wp:posOffset>
            </wp:positionV>
            <wp:extent cx="584835" cy="208915"/>
            <wp:effectExtent l="0" t="0" r="5715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9A1" w:rsidRPr="00EE79A1">
        <w:rPr>
          <w:i/>
          <w:sz w:val="21"/>
        </w:rPr>
        <w:t xml:space="preserve">This rubric is based on the PCCD Online Equity Rubric, visit  </w:t>
      </w:r>
      <w:hyperlink r:id="rId18">
        <w:r w:rsidR="00EE79A1" w:rsidRPr="00EE79A1">
          <w:rPr>
            <w:i/>
            <w:color w:val="0000FF"/>
            <w:sz w:val="21"/>
            <w:u w:val="single" w:color="0000FF"/>
          </w:rPr>
          <w:t>Peralta Online Equity Initiative</w:t>
        </w:r>
      </w:hyperlink>
    </w:p>
    <w:p w14:paraId="3F087442" w14:textId="72ADF751" w:rsidR="00EE79A1" w:rsidRPr="00EE79A1" w:rsidRDefault="00EE79A1" w:rsidP="00EE79A1">
      <w:pPr>
        <w:spacing w:after="242"/>
        <w:ind w:left="4920"/>
      </w:pPr>
    </w:p>
    <w:p w14:paraId="4260E1E4" w14:textId="77777777" w:rsidR="00EE79A1" w:rsidRPr="00EE79A1" w:rsidRDefault="00EE79A1" w:rsidP="00EE79A1">
      <w:pPr>
        <w:spacing w:after="273" w:line="249" w:lineRule="auto"/>
      </w:pPr>
      <w:r w:rsidRPr="00EE79A1">
        <w:t>The curriculum review process should be performed in accordance with accreditation standards. It should include, at a minimum, all of the following:</w:t>
      </w:r>
    </w:p>
    <w:p w14:paraId="19C6C079" w14:textId="77777777" w:rsidR="00EE79A1" w:rsidRPr="00EE79A1" w:rsidRDefault="00EE79A1" w:rsidP="00EE79A1">
      <w:pPr>
        <w:numPr>
          <w:ilvl w:val="0"/>
          <w:numId w:val="2"/>
        </w:numPr>
        <w:spacing w:after="6" w:line="255" w:lineRule="auto"/>
        <w:ind w:hanging="293"/>
      </w:pPr>
      <w:r w:rsidRPr="00EE79A1">
        <w:t>Involvement of faculty with appropriate expertise;</w:t>
      </w:r>
    </w:p>
    <w:p w14:paraId="78D290DC" w14:textId="77777777" w:rsidR="00EE79A1" w:rsidRPr="00EE79A1" w:rsidRDefault="00EE79A1" w:rsidP="00EE79A1">
      <w:pPr>
        <w:numPr>
          <w:ilvl w:val="0"/>
          <w:numId w:val="2"/>
        </w:numPr>
        <w:spacing w:after="6" w:line="255" w:lineRule="auto"/>
        <w:ind w:hanging="293"/>
      </w:pPr>
      <w:r w:rsidRPr="00EE79A1">
        <w:t>Consideration of course objectives as set by the relevant departments;</w:t>
      </w:r>
    </w:p>
    <w:p w14:paraId="410C3CE3" w14:textId="77777777" w:rsidR="00EE79A1" w:rsidRPr="00EE79A1" w:rsidRDefault="00EE79A1" w:rsidP="00EE79A1">
      <w:pPr>
        <w:numPr>
          <w:ilvl w:val="0"/>
          <w:numId w:val="2"/>
        </w:numPr>
        <w:spacing w:after="6" w:line="255" w:lineRule="auto"/>
        <w:ind w:hanging="293"/>
      </w:pPr>
      <w:r w:rsidRPr="00EE79A1">
        <w:t>Review based on a detailed course syllabus and outline of record, tests, related instructional materials, method of instruction, type and number of examinations, and grading criteria;</w:t>
      </w:r>
    </w:p>
    <w:p w14:paraId="0D8898C6" w14:textId="77777777" w:rsidR="00EE79A1" w:rsidRPr="00EE79A1" w:rsidRDefault="00EE79A1" w:rsidP="00EE79A1">
      <w:pPr>
        <w:numPr>
          <w:ilvl w:val="0"/>
          <w:numId w:val="2"/>
        </w:numPr>
        <w:spacing w:after="6" w:line="255" w:lineRule="auto"/>
        <w:ind w:hanging="293"/>
      </w:pPr>
      <w:r w:rsidRPr="00EE79A1">
        <w:t>Specification of the knowledge and/or skills which are deemed necessary at entry and/or concurrently;</w:t>
      </w:r>
    </w:p>
    <w:p w14:paraId="4C59A245" w14:textId="77777777" w:rsidR="00EE79A1" w:rsidRPr="00EE79A1" w:rsidRDefault="00EE79A1" w:rsidP="00EE79A1">
      <w:pPr>
        <w:numPr>
          <w:ilvl w:val="0"/>
          <w:numId w:val="2"/>
        </w:numPr>
        <w:spacing w:after="6" w:line="255" w:lineRule="auto"/>
        <w:ind w:hanging="293"/>
      </w:pPr>
      <w:r w:rsidRPr="00EE79A1">
        <w:t xml:space="preserve">Identification and review of the pre/co-requisite which develops the above-mentioned body of knowledge and/or skills; </w:t>
      </w:r>
      <w:r w:rsidRPr="00EE79A1">
        <w:rPr>
          <w:rFonts w:ascii="Segoe UI Symbol" w:eastAsia="Segoe UI Symbol" w:hAnsi="Segoe UI Symbol" w:cs="Segoe UI Symbol"/>
        </w:rPr>
        <w:t xml:space="preserve">• </w:t>
      </w:r>
      <w:r w:rsidRPr="00EE79A1">
        <w:t>Matching of the knowledge and skills in the targeted course with those developed or measured by the pre/co-requisite (compare #4 with #5);</w:t>
      </w:r>
    </w:p>
    <w:p w14:paraId="25B30FB4" w14:textId="77777777" w:rsidR="00EE79A1" w:rsidRPr="00EE79A1" w:rsidRDefault="00EE79A1" w:rsidP="00EE79A1">
      <w:pPr>
        <w:numPr>
          <w:ilvl w:val="0"/>
          <w:numId w:val="2"/>
        </w:numPr>
        <w:spacing w:after="6" w:line="255" w:lineRule="auto"/>
        <w:ind w:hanging="293"/>
      </w:pPr>
      <w:r w:rsidRPr="00EE79A1">
        <w:t>Maintenance of documentation by the Instruction Office that above steps were taken.</w:t>
      </w:r>
    </w:p>
    <w:p w14:paraId="616E2FAD" w14:textId="77777777" w:rsidR="00EE79A1" w:rsidRPr="00EE79A1" w:rsidRDefault="00EE79A1" w:rsidP="00EE79A1">
      <w:r w:rsidRPr="00EE79A1">
        <w:br w:type="page"/>
      </w:r>
    </w:p>
    <w:p w14:paraId="5B27DE08" w14:textId="77777777" w:rsidR="00EE79A1" w:rsidRPr="00EE79A1" w:rsidRDefault="00EE79A1" w:rsidP="00EE79A1">
      <w:pPr>
        <w:spacing w:after="6" w:line="255" w:lineRule="auto"/>
      </w:pPr>
    </w:p>
    <w:p w14:paraId="50FCC5C3" w14:textId="77777777" w:rsidR="00FC440F" w:rsidRDefault="00EE79A1" w:rsidP="00FC440F">
      <w:pPr>
        <w:spacing w:line="249" w:lineRule="auto"/>
        <w:ind w:left="283" w:right="201" w:hanging="10"/>
        <w:rPr>
          <w:sz w:val="24"/>
        </w:rPr>
      </w:pPr>
      <w:r w:rsidRPr="00EE79A1">
        <w:rPr>
          <w:sz w:val="24"/>
        </w:rPr>
        <w:t xml:space="preserve">Share your </w:t>
      </w:r>
      <w:r w:rsidRPr="00EE79A1">
        <w:rPr>
          <w:i/>
          <w:sz w:val="24"/>
        </w:rPr>
        <w:t>accomplishments</w:t>
      </w:r>
      <w:r w:rsidRPr="00EE79A1">
        <w:rPr>
          <w:sz w:val="24"/>
        </w:rPr>
        <w:t xml:space="preserve"> on how this course has worked towards meeting racial and social justice goals. For example: your department's response and work on the AASA Call to Action:</w:t>
      </w:r>
    </w:p>
    <w:p w14:paraId="237DBF1C" w14:textId="4538F39E" w:rsidR="00EE79A1" w:rsidRPr="00EE79A1" w:rsidRDefault="006A4E62" w:rsidP="00EE79A1">
      <w:pPr>
        <w:spacing w:after="5845" w:line="249" w:lineRule="auto"/>
        <w:ind w:left="283" w:right="201" w:hanging="10"/>
      </w:pPr>
      <w:sdt>
        <w:sdtPr>
          <w:rPr>
            <w:sz w:val="24"/>
          </w:rPr>
          <w:id w:val="2126576386"/>
          <w:placeholder>
            <w:docPart w:val="DefaultPlaceholder_-1854013440"/>
          </w:placeholder>
          <w:showingPlcHdr/>
        </w:sdtPr>
        <w:sdtEndPr/>
        <w:sdtContent>
          <w:r w:rsidR="00FC440F" w:rsidRPr="006B0B10">
            <w:rPr>
              <w:rStyle w:val="PlaceholderText"/>
            </w:rPr>
            <w:t>Click or tap here to enter text.</w:t>
          </w:r>
        </w:sdtContent>
      </w:sdt>
    </w:p>
    <w:p w14:paraId="2A1965B9" w14:textId="0C3BAD59" w:rsidR="00EE79A1" w:rsidRDefault="00EE79A1" w:rsidP="00FC440F">
      <w:pPr>
        <w:spacing w:line="249" w:lineRule="auto"/>
        <w:ind w:left="283" w:right="201" w:hanging="10"/>
        <w:rPr>
          <w:sz w:val="24"/>
        </w:rPr>
      </w:pPr>
      <w:r w:rsidRPr="00EE79A1">
        <w:rPr>
          <w:sz w:val="24"/>
        </w:rPr>
        <w:t>What</w:t>
      </w:r>
      <w:r w:rsidRPr="00EE79A1">
        <w:rPr>
          <w:i/>
          <w:sz w:val="24"/>
        </w:rPr>
        <w:t xml:space="preserve">, </w:t>
      </w:r>
      <w:r w:rsidRPr="00EE79A1">
        <w:rPr>
          <w:sz w:val="24"/>
        </w:rPr>
        <w:t xml:space="preserve">if any, </w:t>
      </w:r>
      <w:r w:rsidRPr="00EE79A1">
        <w:rPr>
          <w:i/>
          <w:sz w:val="24"/>
        </w:rPr>
        <w:t>challenges</w:t>
      </w:r>
      <w:r w:rsidRPr="00EE79A1">
        <w:rPr>
          <w:sz w:val="24"/>
        </w:rPr>
        <w:t xml:space="preserve"> have you encountered in meeting the goals of this rubric, the AASA Call to Action, and/or your department's racial and social justice goals?</w:t>
      </w:r>
    </w:p>
    <w:sdt>
      <w:sdtPr>
        <w:id w:val="525913379"/>
        <w:placeholder>
          <w:docPart w:val="DefaultPlaceholder_-1854013440"/>
        </w:placeholder>
        <w:showingPlcHdr/>
      </w:sdtPr>
      <w:sdtEndPr/>
      <w:sdtContent>
        <w:p w14:paraId="6875EB33" w14:textId="097E382B" w:rsidR="00FC440F" w:rsidRPr="00EE79A1" w:rsidRDefault="00FC440F" w:rsidP="00EE79A1">
          <w:pPr>
            <w:spacing w:after="5845" w:line="249" w:lineRule="auto"/>
            <w:ind w:left="283" w:right="201" w:hanging="10"/>
          </w:pPr>
          <w:r w:rsidRPr="006B0B10">
            <w:rPr>
              <w:rStyle w:val="PlaceholderText"/>
            </w:rPr>
            <w:t>Click or tap here to enter text.</w:t>
          </w:r>
        </w:p>
      </w:sdtContent>
    </w:sdt>
    <w:p w14:paraId="2B6027CD" w14:textId="77777777" w:rsidR="00EE79A1" w:rsidRPr="00EE79A1" w:rsidRDefault="00EE79A1" w:rsidP="00EE79A1">
      <w:pPr>
        <w:spacing w:line="215" w:lineRule="auto"/>
        <w:rPr>
          <w:i/>
        </w:rPr>
      </w:pPr>
    </w:p>
    <w:p w14:paraId="5DDD4A0D" w14:textId="77777777" w:rsidR="00375F29" w:rsidRPr="00375F29" w:rsidRDefault="00375F29" w:rsidP="00225979">
      <w:pPr>
        <w:rPr>
          <w:rFonts w:ascii="Arial" w:hAnsi="Arial" w:cs="Arial"/>
          <w:b/>
          <w:bCs/>
          <w:sz w:val="18"/>
          <w:szCs w:val="18"/>
        </w:rPr>
      </w:pPr>
    </w:p>
    <w:sectPr w:rsidR="00375F29" w:rsidRPr="00375F29" w:rsidSect="00181BC2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B11A4" w14:textId="77777777" w:rsidR="006A4E62" w:rsidRDefault="006A4E62" w:rsidP="00FB0A8E">
      <w:r>
        <w:separator/>
      </w:r>
    </w:p>
  </w:endnote>
  <w:endnote w:type="continuationSeparator" w:id="0">
    <w:p w14:paraId="7C7925AF" w14:textId="77777777" w:rsidR="006A4E62" w:rsidRDefault="006A4E62" w:rsidP="00FB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37A00" w14:textId="2967AEA4" w:rsidR="00FB0A8E" w:rsidRPr="00FB0A8E" w:rsidRDefault="00FB0A8E">
    <w:pPr>
      <w:pStyle w:val="Footer"/>
      <w:rPr>
        <w:rFonts w:ascii="Arial" w:hAnsi="Arial"/>
        <w:sz w:val="16"/>
        <w:szCs w:val="16"/>
      </w:rPr>
    </w:pPr>
    <w:r w:rsidRPr="00FB0A8E">
      <w:rPr>
        <w:rFonts w:ascii="Arial" w:hAnsi="Arial"/>
        <w:sz w:val="16"/>
        <w:szCs w:val="16"/>
      </w:rPr>
      <w:t xml:space="preserve">Approved by CIC -- Spring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51BDF" w14:textId="77777777" w:rsidR="006A4E62" w:rsidRDefault="006A4E62" w:rsidP="00FB0A8E">
      <w:r>
        <w:separator/>
      </w:r>
    </w:p>
  </w:footnote>
  <w:footnote w:type="continuationSeparator" w:id="0">
    <w:p w14:paraId="35B460B5" w14:textId="77777777" w:rsidR="006A4E62" w:rsidRDefault="006A4E62" w:rsidP="00FB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05F1B"/>
    <w:multiLevelType w:val="hybridMultilevel"/>
    <w:tmpl w:val="B072B518"/>
    <w:lvl w:ilvl="0" w:tplc="D5F81540">
      <w:start w:val="1"/>
      <w:numFmt w:val="bullet"/>
      <w:lvlText w:val="•"/>
      <w:lvlJc w:val="left"/>
      <w:pPr>
        <w:ind w:left="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10C164">
      <w:start w:val="1"/>
      <w:numFmt w:val="bullet"/>
      <w:lvlText w:val="o"/>
      <w:lvlJc w:val="left"/>
      <w:pPr>
        <w:ind w:left="1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420850">
      <w:start w:val="1"/>
      <w:numFmt w:val="bullet"/>
      <w:lvlText w:val="▪"/>
      <w:lvlJc w:val="left"/>
      <w:pPr>
        <w:ind w:left="2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8E8AE">
      <w:start w:val="1"/>
      <w:numFmt w:val="bullet"/>
      <w:lvlText w:val="•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32A4A8">
      <w:start w:val="1"/>
      <w:numFmt w:val="bullet"/>
      <w:lvlText w:val="o"/>
      <w:lvlJc w:val="left"/>
      <w:pPr>
        <w:ind w:left="3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0064B4">
      <w:start w:val="1"/>
      <w:numFmt w:val="bullet"/>
      <w:lvlText w:val="▪"/>
      <w:lvlJc w:val="left"/>
      <w:pPr>
        <w:ind w:left="4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B80CCE">
      <w:start w:val="1"/>
      <w:numFmt w:val="bullet"/>
      <w:lvlText w:val="•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C0804C">
      <w:start w:val="1"/>
      <w:numFmt w:val="bullet"/>
      <w:lvlText w:val="o"/>
      <w:lvlJc w:val="left"/>
      <w:pPr>
        <w:ind w:left="5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6AC0BE">
      <w:start w:val="1"/>
      <w:numFmt w:val="bullet"/>
      <w:lvlText w:val="▪"/>
      <w:lvlJc w:val="left"/>
      <w:pPr>
        <w:ind w:left="6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72060F"/>
    <w:multiLevelType w:val="hybridMultilevel"/>
    <w:tmpl w:val="5642B7FA"/>
    <w:lvl w:ilvl="0" w:tplc="6200FD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86B29E">
      <w:start w:val="1"/>
      <w:numFmt w:val="bullet"/>
      <w:lvlText w:val="o"/>
      <w:lvlJc w:val="left"/>
      <w:pPr>
        <w:ind w:left="1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B4BEB8">
      <w:start w:val="1"/>
      <w:numFmt w:val="bullet"/>
      <w:lvlText w:val="▪"/>
      <w:lvlJc w:val="left"/>
      <w:pPr>
        <w:ind w:left="1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34CF4A">
      <w:start w:val="1"/>
      <w:numFmt w:val="bullet"/>
      <w:lvlText w:val="•"/>
      <w:lvlJc w:val="left"/>
      <w:pPr>
        <w:ind w:left="2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B2C97A">
      <w:start w:val="1"/>
      <w:numFmt w:val="bullet"/>
      <w:lvlText w:val="o"/>
      <w:lvlJc w:val="left"/>
      <w:pPr>
        <w:ind w:left="3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28244">
      <w:start w:val="1"/>
      <w:numFmt w:val="bullet"/>
      <w:lvlText w:val="▪"/>
      <w:lvlJc w:val="left"/>
      <w:pPr>
        <w:ind w:left="4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14F8C6">
      <w:start w:val="1"/>
      <w:numFmt w:val="bullet"/>
      <w:lvlText w:val="•"/>
      <w:lvlJc w:val="left"/>
      <w:pPr>
        <w:ind w:left="4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883B9A">
      <w:start w:val="1"/>
      <w:numFmt w:val="bullet"/>
      <w:lvlText w:val="o"/>
      <w:lvlJc w:val="left"/>
      <w:pPr>
        <w:ind w:left="5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F273FE">
      <w:start w:val="1"/>
      <w:numFmt w:val="bullet"/>
      <w:lvlText w:val="▪"/>
      <w:lvlJc w:val="left"/>
      <w:pPr>
        <w:ind w:left="6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535338"/>
    <w:multiLevelType w:val="hybridMultilevel"/>
    <w:tmpl w:val="B8DA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hideSpellingErrors/>
  <w:hideGrammaticalErrors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C2"/>
    <w:rsid w:val="000B244D"/>
    <w:rsid w:val="00181BC2"/>
    <w:rsid w:val="00225979"/>
    <w:rsid w:val="00360DAD"/>
    <w:rsid w:val="00375F29"/>
    <w:rsid w:val="003C6FA0"/>
    <w:rsid w:val="00593CC0"/>
    <w:rsid w:val="006A4E62"/>
    <w:rsid w:val="006F2DD0"/>
    <w:rsid w:val="006F4919"/>
    <w:rsid w:val="0080321E"/>
    <w:rsid w:val="008E703F"/>
    <w:rsid w:val="009D1071"/>
    <w:rsid w:val="00A069E6"/>
    <w:rsid w:val="00A44400"/>
    <w:rsid w:val="00BA2CAC"/>
    <w:rsid w:val="00D23014"/>
    <w:rsid w:val="00E269B9"/>
    <w:rsid w:val="00EE79A1"/>
    <w:rsid w:val="00EF1C05"/>
    <w:rsid w:val="00F7435C"/>
    <w:rsid w:val="00FB0A8E"/>
    <w:rsid w:val="00F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9A8E"/>
  <w15:chartTrackingRefBased/>
  <w15:docId w15:val="{8E73FE71-DFB9-4178-AF48-AC4A8BEB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BC2"/>
    <w:rPr>
      <w:color w:val="808080"/>
    </w:rPr>
  </w:style>
  <w:style w:type="character" w:styleId="Hyperlink">
    <w:name w:val="Hyperlink"/>
    <w:rsid w:val="006F2D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2DD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A8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A8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0A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B0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A8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0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A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eb.peralta.edu/de/files/2019/01/Peralta-Equity-Rubric-V6-January-2019.pdf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4cd.edu/gb/policies-procedures/curriculum/CI4014.pdf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udlguidelines.cast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dlguidelines.cast.org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dlguidelines.cast.org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B49C6-15DF-4DF3-B5E6-393C2D85AD18}"/>
      </w:docPartPr>
      <w:docPartBody>
        <w:p w:rsidR="00EE04AC" w:rsidRDefault="00830D4F">
          <w:r w:rsidRPr="006B0B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4F"/>
    <w:rsid w:val="000427D8"/>
    <w:rsid w:val="002079AC"/>
    <w:rsid w:val="004E18EA"/>
    <w:rsid w:val="00766F63"/>
    <w:rsid w:val="00830D4F"/>
    <w:rsid w:val="00AD21CE"/>
    <w:rsid w:val="00D64894"/>
    <w:rsid w:val="00EE04AC"/>
    <w:rsid w:val="00F9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D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036EE-148F-41D4-88C0-B26C8EC44D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EA416D-0953-4BEE-A120-1AE6734B8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232A24-9CD6-4956-8660-BBDA489F2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85D9F-0ED2-48FB-B9C7-C22C6AC2F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Mark</dc:creator>
  <cp:keywords/>
  <dc:description/>
  <cp:lastModifiedBy>Gleason, Tim</cp:lastModifiedBy>
  <cp:revision>3</cp:revision>
  <dcterms:created xsi:type="dcterms:W3CDTF">2021-05-25T16:18:00Z</dcterms:created>
  <dcterms:modified xsi:type="dcterms:W3CDTF">2021-05-25T16:21:00Z</dcterms:modified>
</cp:coreProperties>
</file>